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701A" w14:textId="32D76998" w:rsidR="00152956" w:rsidRDefault="00371621" w:rsidP="00512F77">
      <w:pPr>
        <w:jc w:val="both"/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</w:pPr>
      <w:r>
        <w:rPr>
          <w:rFonts w:asciiTheme="majorHAnsi" w:hAnsiTheme="majorHAnsi" w:cs="Calibri Light (Titoli)"/>
          <w:b/>
          <w:bCs/>
          <w:noProof/>
          <w:color w:val="002060"/>
          <w:spacing w:val="-4"/>
          <w:sz w:val="22"/>
          <w:szCs w:val="22"/>
        </w:rPr>
        <w:drawing>
          <wp:inline distT="0" distB="0" distL="0" distR="0" wp14:anchorId="0CFAA9F7" wp14:editId="284990D0">
            <wp:extent cx="1496907" cy="414478"/>
            <wp:effectExtent l="0" t="0" r="190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001" cy="41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81530" w14:textId="77777777" w:rsidR="00152956" w:rsidRDefault="00152956" w:rsidP="00512F77">
      <w:pPr>
        <w:jc w:val="both"/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</w:pPr>
    </w:p>
    <w:p w14:paraId="7DB6817F" w14:textId="77777777" w:rsidR="00152956" w:rsidRDefault="00152956" w:rsidP="00512F77">
      <w:pPr>
        <w:jc w:val="both"/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</w:pPr>
    </w:p>
    <w:p w14:paraId="117C8126" w14:textId="77777777" w:rsidR="00582CA1" w:rsidRPr="00582CA1" w:rsidRDefault="00582CA1" w:rsidP="00582CA1">
      <w:pPr>
        <w:jc w:val="center"/>
        <w:rPr>
          <w:rFonts w:asciiTheme="majorHAnsi" w:hAnsiTheme="majorHAnsi" w:cs="Calibri Light (Titoli)"/>
          <w:b/>
          <w:bCs/>
          <w:color w:val="002060"/>
          <w:sz w:val="22"/>
          <w:szCs w:val="22"/>
          <w:u w:val="single"/>
        </w:rPr>
      </w:pPr>
      <w:r w:rsidRPr="00582CA1">
        <w:rPr>
          <w:rFonts w:asciiTheme="majorHAnsi" w:hAnsiTheme="majorHAnsi" w:cs="Calibri Light (Titoli)"/>
          <w:b/>
          <w:bCs/>
          <w:color w:val="002060"/>
          <w:sz w:val="22"/>
          <w:szCs w:val="22"/>
          <w:u w:val="single"/>
        </w:rPr>
        <w:t>COMUNICATO STAMPA</w:t>
      </w:r>
    </w:p>
    <w:p w14:paraId="13F2F11A" w14:textId="77777777" w:rsidR="00582CA1" w:rsidRDefault="00582CA1" w:rsidP="00582CA1">
      <w:pPr>
        <w:jc w:val="center"/>
        <w:rPr>
          <w:rFonts w:asciiTheme="majorHAnsi" w:hAnsiTheme="majorHAnsi" w:cs="Calibri Light (Titoli)"/>
          <w:b/>
          <w:bCs/>
          <w:color w:val="002060"/>
          <w:sz w:val="22"/>
          <w:szCs w:val="22"/>
        </w:rPr>
      </w:pPr>
    </w:p>
    <w:p w14:paraId="313EDCE8" w14:textId="308B224A" w:rsidR="00862A79" w:rsidRPr="00E71FA3" w:rsidRDefault="00837E7A" w:rsidP="00582CA1">
      <w:pPr>
        <w:jc w:val="center"/>
        <w:rPr>
          <w:rFonts w:asciiTheme="majorHAnsi" w:hAnsiTheme="majorHAnsi" w:cs="Calibri Light (Titoli)"/>
          <w:b/>
          <w:bCs/>
          <w:color w:val="002060"/>
          <w:sz w:val="22"/>
          <w:szCs w:val="22"/>
        </w:rPr>
      </w:pPr>
      <w:r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LEASE202</w:t>
      </w:r>
      <w:r w:rsidR="007476C6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3</w:t>
      </w:r>
      <w:r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: dal Salone del Leasing </w:t>
      </w:r>
      <w:bookmarkStart w:id="0" w:name="_Hlk148798682"/>
      <w:r w:rsidR="00D856CE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Assilea</w:t>
      </w:r>
      <w:r w:rsidR="00E71FA3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, apertosi oggi a Milano,</w:t>
      </w:r>
      <w:r w:rsidR="00D856CE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 </w:t>
      </w:r>
      <w:r w:rsidR="00DB6780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un forte richiamo</w:t>
      </w:r>
      <w:r w:rsidR="00183A2F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 </w:t>
      </w:r>
      <w:r w:rsidR="00D856CE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affinché </w:t>
      </w:r>
      <w:r w:rsidR="00765644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la </w:t>
      </w:r>
      <w:r w:rsidR="00D856CE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 xml:space="preserve">revisione dei criteri di Basilea3 non determini un restringimento dell’accesso al credito per </w:t>
      </w:r>
      <w:r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PMI e artigiani</w:t>
      </w:r>
      <w:bookmarkEnd w:id="0"/>
      <w:r w:rsidR="00512F77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, vera spina dorsale produttiva del Paese</w:t>
      </w:r>
      <w:r w:rsidR="00862A79" w:rsidRPr="00E71FA3">
        <w:rPr>
          <w:rFonts w:asciiTheme="majorHAnsi" w:hAnsiTheme="majorHAnsi" w:cs="Calibri Light (Titoli)"/>
          <w:b/>
          <w:bCs/>
          <w:color w:val="002060"/>
          <w:sz w:val="22"/>
          <w:szCs w:val="22"/>
        </w:rPr>
        <w:t>.</w:t>
      </w:r>
    </w:p>
    <w:p w14:paraId="3949A2F6" w14:textId="77777777" w:rsidR="00282004" w:rsidRPr="00371621" w:rsidRDefault="00282004" w:rsidP="00512F77">
      <w:pPr>
        <w:jc w:val="both"/>
        <w:rPr>
          <w:rFonts w:asciiTheme="majorHAnsi" w:hAnsiTheme="majorHAnsi" w:cstheme="majorHAnsi"/>
          <w:b/>
          <w:bCs/>
          <w:color w:val="002060"/>
          <w:sz w:val="16"/>
          <w:szCs w:val="16"/>
        </w:rPr>
      </w:pPr>
    </w:p>
    <w:p w14:paraId="6765D4CF" w14:textId="163F65F4" w:rsidR="00862A79" w:rsidRDefault="00862A79" w:rsidP="00582CA1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8A16F4">
        <w:rPr>
          <w:rFonts w:asciiTheme="majorHAnsi" w:hAnsiTheme="majorHAnsi" w:cstheme="majorHAnsi"/>
          <w:b/>
          <w:bCs/>
          <w:color w:val="002060"/>
          <w:sz w:val="22"/>
          <w:szCs w:val="22"/>
        </w:rPr>
        <w:t>MESCIERI (Assilea)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: </w:t>
      </w:r>
      <w:r w:rsidR="00FD68C5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“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l</w:t>
      </w:r>
      <w:r w:rsidRPr="00780BFE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’85,4% delle imprese che hanno stipulato contratti di leasing nel 2022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sono PMI e </w:t>
      </w:r>
      <w:r w:rsidR="00512F77">
        <w:rPr>
          <w:rFonts w:asciiTheme="majorHAnsi" w:hAnsiTheme="majorHAnsi" w:cstheme="majorHAnsi"/>
          <w:b/>
          <w:bCs/>
          <w:color w:val="002060"/>
          <w:sz w:val="22"/>
          <w:szCs w:val="22"/>
        </w:rPr>
        <w:t>si trovano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in un momento cruciale per gli effetti che le nuove regole del sistema bancario potranno avere sull</w:t>
      </w:r>
      <w:r w:rsidR="00512F77">
        <w:rPr>
          <w:rFonts w:asciiTheme="majorHAnsi" w:hAnsiTheme="majorHAnsi" w:cstheme="majorHAnsi"/>
          <w:b/>
          <w:bCs/>
          <w:color w:val="002060"/>
          <w:sz w:val="22"/>
          <w:szCs w:val="22"/>
        </w:rPr>
        <w:t>a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loro </w:t>
      </w:r>
      <w:r w:rsidR="00512F77">
        <w:rPr>
          <w:rFonts w:asciiTheme="majorHAnsi" w:hAnsiTheme="majorHAnsi" w:cstheme="majorHAnsi"/>
          <w:b/>
          <w:bCs/>
          <w:color w:val="002060"/>
          <w:sz w:val="22"/>
          <w:szCs w:val="22"/>
        </w:rPr>
        <w:t>possibili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tà di investi</w:t>
      </w:r>
      <w:r w:rsidR="00F31E6B">
        <w:rPr>
          <w:rFonts w:asciiTheme="majorHAnsi" w:hAnsiTheme="majorHAnsi" w:cstheme="majorHAnsi"/>
          <w:b/>
          <w:bCs/>
          <w:color w:val="002060"/>
          <w:sz w:val="22"/>
          <w:szCs w:val="22"/>
        </w:rPr>
        <w:t>re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.</w:t>
      </w:r>
      <w:r w:rsidR="00FD68C5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”</w:t>
      </w:r>
    </w:p>
    <w:p w14:paraId="06F3FF96" w14:textId="59A0CEDE" w:rsidR="00FD68C5" w:rsidRPr="00FD68C5" w:rsidRDefault="00FD68C5" w:rsidP="00582CA1">
      <w:pPr>
        <w:jc w:val="center"/>
        <w:rPr>
          <w:rFonts w:asciiTheme="majorHAnsi" w:hAnsiTheme="majorHAnsi" w:cstheme="majorHAnsi"/>
          <w:b/>
          <w:bCs/>
          <w:color w:val="002060"/>
          <w:sz w:val="16"/>
          <w:szCs w:val="16"/>
        </w:rPr>
      </w:pPr>
    </w:p>
    <w:p w14:paraId="092D0F64" w14:textId="75397E29" w:rsidR="00FD68C5" w:rsidRPr="00FD68C5" w:rsidRDefault="00FD68C5" w:rsidP="00582CA1">
      <w:pPr>
        <w:jc w:val="center"/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</w:pPr>
      <w:r w:rsidRPr="00197C2A">
        <w:rPr>
          <w:rFonts w:asciiTheme="majorHAnsi" w:eastAsia="Times New Roman" w:hAnsiTheme="majorHAnsi" w:cstheme="majorHAnsi"/>
          <w:b/>
          <w:bCs/>
          <w:color w:val="002060"/>
          <w:sz w:val="21"/>
          <w:szCs w:val="21"/>
          <w:lang w:eastAsia="it-IT"/>
        </w:rPr>
        <w:t>FORTIS</w:t>
      </w:r>
      <w:r w:rsidR="000B25CB">
        <w:rPr>
          <w:rFonts w:asciiTheme="majorHAnsi" w:eastAsia="Times New Roman" w:hAnsiTheme="majorHAnsi" w:cstheme="majorHAnsi"/>
          <w:b/>
          <w:bCs/>
          <w:color w:val="002060"/>
          <w:sz w:val="21"/>
          <w:szCs w:val="21"/>
          <w:lang w:eastAsia="it-IT"/>
        </w:rPr>
        <w:t xml:space="preserve"> (Fondazione Edison)</w:t>
      </w:r>
      <w:r>
        <w:rPr>
          <w:rFonts w:asciiTheme="majorHAnsi" w:eastAsia="Times New Roman" w:hAnsiTheme="majorHAnsi" w:cstheme="majorHAnsi"/>
          <w:b/>
          <w:bCs/>
          <w:color w:val="002060"/>
          <w:sz w:val="21"/>
          <w:szCs w:val="21"/>
          <w:lang w:eastAsia="it-IT"/>
        </w:rPr>
        <w:t xml:space="preserve">: </w:t>
      </w:r>
      <w:r w:rsidRPr="00FD68C5">
        <w:rPr>
          <w:rFonts w:asciiTheme="majorHAnsi" w:eastAsia="Times New Roman" w:hAnsiTheme="majorHAnsi" w:cs="Calibri Light (Titoli)"/>
          <w:b/>
          <w:bCs/>
          <w:color w:val="002060"/>
          <w:spacing w:val="-4"/>
          <w:sz w:val="21"/>
          <w:szCs w:val="21"/>
          <w:lang w:eastAsia="it-IT"/>
        </w:rPr>
        <w:t>“l’Italia è solidissima, se fate una domanda a un analista di Moody’s scoprirete che non sa nulla d</w:t>
      </w:r>
      <w:r>
        <w:rPr>
          <w:rFonts w:asciiTheme="majorHAnsi" w:eastAsia="Times New Roman" w:hAnsiTheme="majorHAnsi" w:cs="Calibri Light (Titoli)"/>
          <w:b/>
          <w:bCs/>
          <w:color w:val="002060"/>
          <w:spacing w:val="-4"/>
          <w:sz w:val="21"/>
          <w:szCs w:val="21"/>
          <w:lang w:eastAsia="it-IT"/>
        </w:rPr>
        <w:t>el Paese</w:t>
      </w:r>
      <w:r w:rsidRPr="00FD68C5">
        <w:rPr>
          <w:rFonts w:asciiTheme="majorHAnsi" w:eastAsia="Times New Roman" w:hAnsiTheme="majorHAnsi" w:cs="Calibri Light (Titoli)"/>
          <w:b/>
          <w:bCs/>
          <w:color w:val="002060"/>
          <w:spacing w:val="-4"/>
          <w:sz w:val="21"/>
          <w:szCs w:val="21"/>
          <w:lang w:eastAsia="it-IT"/>
        </w:rPr>
        <w:t xml:space="preserve">. Dobbiamo ribellarci e promuovere le storie di imprese </w:t>
      </w:r>
      <w:r>
        <w:rPr>
          <w:rFonts w:asciiTheme="majorHAnsi" w:eastAsia="Times New Roman" w:hAnsiTheme="majorHAnsi" w:cs="Calibri Light (Titoli)"/>
          <w:b/>
          <w:bCs/>
          <w:color w:val="002060"/>
          <w:spacing w:val="-4"/>
          <w:sz w:val="21"/>
          <w:szCs w:val="21"/>
          <w:lang w:eastAsia="it-IT"/>
        </w:rPr>
        <w:t xml:space="preserve">di eccellenza come </w:t>
      </w:r>
      <w:r w:rsidRPr="00FD68C5">
        <w:rPr>
          <w:rFonts w:asciiTheme="majorHAnsi" w:eastAsia="Times New Roman" w:hAnsiTheme="majorHAnsi" w:cs="Calibri Light (Titoli)"/>
          <w:b/>
          <w:bCs/>
          <w:color w:val="002060"/>
          <w:spacing w:val="-4"/>
          <w:sz w:val="21"/>
          <w:szCs w:val="21"/>
          <w:lang w:eastAsia="it-IT"/>
        </w:rPr>
        <w:t>che sono state portate sul palco del Salone del leasing”.</w:t>
      </w:r>
    </w:p>
    <w:p w14:paraId="48A1FAC7" w14:textId="77777777" w:rsidR="00862A79" w:rsidRPr="00371621" w:rsidRDefault="00862A79" w:rsidP="00582CA1">
      <w:pPr>
        <w:jc w:val="center"/>
        <w:rPr>
          <w:rFonts w:asciiTheme="majorHAnsi" w:hAnsiTheme="majorHAnsi" w:cstheme="majorHAnsi"/>
          <w:b/>
          <w:bCs/>
          <w:color w:val="002060"/>
          <w:sz w:val="16"/>
          <w:szCs w:val="16"/>
        </w:rPr>
      </w:pPr>
    </w:p>
    <w:p w14:paraId="5F6DF498" w14:textId="5A05C437" w:rsidR="0031411F" w:rsidRPr="00582CA1" w:rsidRDefault="0031411F" w:rsidP="00582CA1">
      <w:pPr>
        <w:jc w:val="center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LEASING: 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nei primi nove mesi dell’anno 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lo stipulato segna una crescita 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>del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+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>11,7%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>rispetto a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llo stesso periodo de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>l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2022,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con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un volume di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oltre</w:t>
      </w:r>
      <w:r w:rsidRPr="00765644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25,1 miliardi di euro. </w:t>
      </w:r>
      <w:r w:rsidRPr="00C80768">
        <w:rPr>
          <w:rFonts w:asciiTheme="majorHAnsi" w:hAnsiTheme="majorHAnsi" w:cstheme="majorHAnsi"/>
          <w:b/>
          <w:bCs/>
          <w:color w:val="002060"/>
          <w:sz w:val="22"/>
          <w:szCs w:val="22"/>
        </w:rPr>
        <w:t>Cresce l’incidenza percentuale del leasing sul PIL italiano.</w:t>
      </w:r>
      <w:r w:rsidR="00582CA1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Pr="00282004">
        <w:rPr>
          <w:rFonts w:asciiTheme="majorHAnsi" w:hAnsiTheme="majorHAnsi" w:cstheme="majorHAnsi"/>
          <w:b/>
          <w:bCs/>
          <w:color w:val="002060"/>
          <w:sz w:val="22"/>
          <w:szCs w:val="22"/>
        </w:rPr>
        <w:t>L’85,4% di imprese che hanno stipulato contratti di leasing nel 2022 sono PMI.</w:t>
      </w:r>
    </w:p>
    <w:p w14:paraId="4FF1A6D8" w14:textId="4384A658" w:rsidR="00582CA1" w:rsidRDefault="00582CA1" w:rsidP="00582CA1">
      <w:pPr>
        <w:pStyle w:val="NormaleWeb"/>
        <w:jc w:val="center"/>
      </w:pPr>
      <w:r>
        <w:rPr>
          <w:rFonts w:ascii="Calibri" w:hAnsi="Calibri" w:cs="Calibri"/>
          <w:i/>
          <w:iCs/>
          <w:color w:val="001E5E"/>
        </w:rPr>
        <w:t xml:space="preserve">Press Kit disponibile a questo link </w:t>
      </w:r>
      <w:r>
        <w:rPr>
          <w:rFonts w:ascii="Calibri" w:hAnsi="Calibri" w:cs="Calibri"/>
          <w:i/>
          <w:iCs/>
          <w:color w:val="0000FF"/>
        </w:rPr>
        <w:t>https://www.lease2023.it/area-stampa/</w:t>
      </w:r>
    </w:p>
    <w:p w14:paraId="79C5F846" w14:textId="47B46696" w:rsidR="00862A79" w:rsidRPr="00A92E61" w:rsidRDefault="00582CA1" w:rsidP="00270AE6">
      <w:pPr>
        <w:jc w:val="both"/>
        <w:rPr>
          <w:rFonts w:asciiTheme="majorHAnsi" w:hAnsiTheme="majorHAnsi" w:cs="Calibri Light (Titoli)"/>
          <w:color w:val="002060"/>
          <w:spacing w:val="-4"/>
          <w:sz w:val="22"/>
          <w:szCs w:val="22"/>
        </w:rPr>
      </w:pPr>
      <w:r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Milano, 25 ottobre 2023 - </w:t>
      </w:r>
      <w:r w:rsidR="00CD7205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Si 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a</w:t>
      </w:r>
      <w:r w:rsidR="00CD7205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p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e</w:t>
      </w:r>
      <w:r w:rsidR="00CD7205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rt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o oggi a Milano </w:t>
      </w:r>
      <w:r w:rsidR="0007420B" w:rsidRPr="00A92E61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>LEASE202</w:t>
      </w:r>
      <w:r w:rsidR="007476C6" w:rsidRPr="00A92E61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>3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, 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il </w:t>
      </w:r>
      <w:r w:rsidR="00D13887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S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alone del Leasing organizzato da </w:t>
      </w:r>
      <w:r w:rsidR="0007420B" w:rsidRPr="00A92E61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>Assilea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</w:t>
      </w:r>
      <w:r w:rsidR="00D13887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-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Associazione italiana leasing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- che si concluderà domani 26 ottobre.</w:t>
      </w:r>
      <w:r w:rsidR="00862A79" w:rsidRPr="00A92E61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 xml:space="preserve"> 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Le sfide e le prospettive del futuro per l’economia italiana, i cambiamenti in atto e le opportunità di investimento, il ruolo del leasing per il sostegno alle imprese, </w:t>
      </w:r>
      <w:r w:rsidR="0037636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i dati di settore, 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l’evoluzione delle professioni del credito</w:t>
      </w:r>
      <w:r w:rsidR="00F31E6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,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sono i temi chiave della</w:t>
      </w:r>
      <w:r w:rsidR="00862A79" w:rsidRPr="00A92E61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 xml:space="preserve"> 6° edizione, 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articolata in </w:t>
      </w:r>
      <w:r w:rsidR="007476C6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5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tavole rotonde e </w:t>
      </w:r>
      <w:r w:rsidR="00862A79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tre</w:t>
      </w:r>
      <w:r w:rsidR="0007420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 </w:t>
      </w:r>
      <w:r w:rsidR="0007420B" w:rsidRPr="00A92E61">
        <w:rPr>
          <w:rFonts w:asciiTheme="majorHAnsi" w:hAnsiTheme="majorHAnsi" w:cs="Calibri Light (Titoli)"/>
          <w:i/>
          <w:iCs/>
          <w:color w:val="002060"/>
          <w:spacing w:val="-4"/>
          <w:sz w:val="22"/>
          <w:szCs w:val="22"/>
        </w:rPr>
        <w:t xml:space="preserve">speech </w:t>
      </w:r>
      <w:proofErr w:type="spellStart"/>
      <w:r w:rsidR="00862A79" w:rsidRPr="00A92E61">
        <w:rPr>
          <w:rFonts w:asciiTheme="majorHAnsi" w:hAnsiTheme="majorHAnsi" w:cs="Calibri Light (Titoli)"/>
          <w:i/>
          <w:iCs/>
          <w:color w:val="002060"/>
          <w:spacing w:val="-4"/>
          <w:sz w:val="22"/>
          <w:szCs w:val="22"/>
        </w:rPr>
        <w:t>one-to-one</w:t>
      </w:r>
      <w:proofErr w:type="spellEnd"/>
      <w:r w:rsidR="00F31E6B" w:rsidRPr="00A92E61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.</w:t>
      </w:r>
    </w:p>
    <w:p w14:paraId="59AD010A" w14:textId="77777777" w:rsidR="0007420B" w:rsidRPr="00837E7A" w:rsidRDefault="0007420B" w:rsidP="00837E7A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1A1D8B5" w14:textId="3AC91826" w:rsidR="00D95A88" w:rsidRDefault="006F6E1E" w:rsidP="00D13887">
      <w:pPr>
        <w:pStyle w:val="Default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color w:val="002060"/>
          <w:sz w:val="22"/>
          <w:szCs w:val="22"/>
        </w:rPr>
        <w:t>L</w:t>
      </w:r>
      <w:r w:rsidR="0007420B"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a prima giornata 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è </w:t>
      </w:r>
      <w:r w:rsidR="002652A8">
        <w:rPr>
          <w:rFonts w:asciiTheme="majorHAnsi" w:hAnsiTheme="majorHAnsi" w:cstheme="majorHAnsi"/>
          <w:color w:val="002060"/>
          <w:sz w:val="22"/>
          <w:szCs w:val="22"/>
        </w:rPr>
        <w:t xml:space="preserve">iniziata 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con </w:t>
      </w:r>
      <w:r w:rsidR="0007420B" w:rsidRPr="00270AE6">
        <w:rPr>
          <w:rFonts w:asciiTheme="majorHAnsi" w:hAnsiTheme="majorHAnsi" w:cstheme="majorHAnsi"/>
          <w:color w:val="002060"/>
          <w:sz w:val="22"/>
          <w:szCs w:val="22"/>
        </w:rPr>
        <w:t>la visione del Presidente ABI</w:t>
      </w:r>
      <w:r w:rsidR="00862A79">
        <w:rPr>
          <w:rFonts w:asciiTheme="majorHAnsi" w:hAnsiTheme="majorHAnsi" w:cstheme="majorHAnsi"/>
          <w:color w:val="002060"/>
          <w:sz w:val="22"/>
          <w:szCs w:val="22"/>
        </w:rPr>
        <w:t>,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07420B" w:rsidRPr="00270AE6">
        <w:rPr>
          <w:rFonts w:asciiTheme="majorHAnsi" w:hAnsiTheme="majorHAnsi" w:cstheme="majorHAnsi"/>
          <w:b/>
          <w:bCs/>
          <w:color w:val="002060"/>
          <w:sz w:val="22"/>
          <w:szCs w:val="22"/>
        </w:rPr>
        <w:t>Antonio Patuelli</w:t>
      </w:r>
      <w:r w:rsidR="00862A79">
        <w:rPr>
          <w:rFonts w:asciiTheme="majorHAnsi" w:hAnsiTheme="majorHAnsi" w:cstheme="majorHAnsi"/>
          <w:color w:val="002060"/>
          <w:sz w:val="22"/>
          <w:szCs w:val="22"/>
        </w:rPr>
        <w:t>,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i</w:t>
      </w:r>
      <w:r w:rsidR="0007420B"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ntervistato dal Presidente </w:t>
      </w:r>
      <w:proofErr w:type="spellStart"/>
      <w:r w:rsidR="0007420B" w:rsidRPr="00270AE6">
        <w:rPr>
          <w:rFonts w:asciiTheme="majorHAnsi" w:hAnsiTheme="majorHAnsi" w:cstheme="majorHAnsi"/>
          <w:color w:val="002060"/>
          <w:sz w:val="22"/>
          <w:szCs w:val="22"/>
        </w:rPr>
        <w:t>Assilea</w:t>
      </w:r>
      <w:proofErr w:type="spellEnd"/>
      <w:r w:rsidR="00862A79">
        <w:rPr>
          <w:rFonts w:asciiTheme="majorHAnsi" w:hAnsiTheme="majorHAnsi" w:cstheme="majorHAnsi"/>
          <w:color w:val="002060"/>
          <w:sz w:val="22"/>
          <w:szCs w:val="22"/>
        </w:rPr>
        <w:t>,</w:t>
      </w:r>
      <w:r w:rsidR="0007420B"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07420B" w:rsidRPr="00270AE6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Carlo </w:t>
      </w:r>
      <w:proofErr w:type="spellStart"/>
      <w:r w:rsidR="0007420B" w:rsidRPr="00270AE6">
        <w:rPr>
          <w:rFonts w:asciiTheme="majorHAnsi" w:hAnsiTheme="majorHAnsi" w:cstheme="majorHAnsi"/>
          <w:b/>
          <w:bCs/>
          <w:color w:val="002060"/>
          <w:sz w:val="22"/>
          <w:szCs w:val="22"/>
        </w:rPr>
        <w:t>Mescieri</w:t>
      </w:r>
      <w:proofErr w:type="spellEnd"/>
      <w:r w:rsidR="00FB26C0">
        <w:rPr>
          <w:rFonts w:asciiTheme="majorHAnsi" w:hAnsiTheme="majorHAnsi" w:cstheme="majorHAnsi"/>
          <w:color w:val="002060"/>
          <w:sz w:val="22"/>
          <w:szCs w:val="22"/>
        </w:rPr>
        <w:t>,</w:t>
      </w:r>
      <w:r>
        <w:t xml:space="preserve"> </w:t>
      </w:r>
      <w:r w:rsidR="00E71FA3">
        <w:rPr>
          <w:rFonts w:asciiTheme="majorHAnsi" w:hAnsiTheme="majorHAnsi" w:cstheme="majorHAnsi"/>
          <w:color w:val="002060"/>
          <w:sz w:val="22"/>
          <w:szCs w:val="22"/>
        </w:rPr>
        <w:t>seguita dalla</w:t>
      </w:r>
      <w:r w:rsidR="00D13887"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 tavola rotonda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D13887" w:rsidRPr="00270AE6">
        <w:rPr>
          <w:rFonts w:asciiTheme="majorHAnsi" w:hAnsiTheme="majorHAnsi" w:cstheme="majorHAnsi"/>
          <w:color w:val="002060"/>
          <w:sz w:val="22"/>
          <w:szCs w:val="22"/>
        </w:rPr>
        <w:t>“</w:t>
      </w:r>
      <w:r w:rsidR="00D13887" w:rsidRPr="00270AE6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 xml:space="preserve">Il contesto macroeconomico italiano, </w:t>
      </w:r>
      <w:r w:rsidR="00FB26C0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>PMI e Leasing</w:t>
      </w:r>
      <w:r w:rsidR="00D13887" w:rsidRPr="00270AE6">
        <w:rPr>
          <w:rFonts w:asciiTheme="majorHAnsi" w:hAnsiTheme="majorHAnsi" w:cstheme="majorHAnsi"/>
          <w:color w:val="002060"/>
          <w:sz w:val="22"/>
          <w:szCs w:val="22"/>
        </w:rPr>
        <w:t>”</w:t>
      </w:r>
      <w:r w:rsidR="00AC1F6D">
        <w:rPr>
          <w:rFonts w:asciiTheme="majorHAnsi" w:hAnsiTheme="majorHAnsi" w:cstheme="majorHAnsi"/>
          <w:color w:val="002060"/>
          <w:sz w:val="22"/>
          <w:szCs w:val="22"/>
        </w:rPr>
        <w:t>,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con </w:t>
      </w:r>
      <w:r w:rsidR="00FB26C0" w:rsidRPr="00A252AE">
        <w:rPr>
          <w:rFonts w:asciiTheme="majorHAnsi" w:hAnsiTheme="majorHAnsi" w:cstheme="majorHAnsi"/>
          <w:b/>
          <w:bCs/>
          <w:color w:val="002060"/>
          <w:sz w:val="22"/>
          <w:szCs w:val="22"/>
        </w:rPr>
        <w:t>Marco Fortis</w:t>
      </w:r>
      <w:r w:rsidR="00FB26C0" w:rsidRPr="00FB26C0">
        <w:rPr>
          <w:rFonts w:asciiTheme="majorHAnsi" w:hAnsiTheme="majorHAnsi" w:cstheme="majorHAnsi"/>
          <w:color w:val="002060"/>
          <w:sz w:val="22"/>
          <w:szCs w:val="22"/>
        </w:rPr>
        <w:t xml:space="preserve"> (Fondazione Edison),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FB26C0" w:rsidRPr="00A252AE">
        <w:rPr>
          <w:rFonts w:asciiTheme="majorHAnsi" w:hAnsiTheme="majorHAnsi" w:cstheme="majorHAnsi"/>
          <w:b/>
          <w:bCs/>
          <w:color w:val="002060"/>
          <w:sz w:val="22"/>
          <w:szCs w:val="22"/>
        </w:rPr>
        <w:t>Francesca Brunori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(Confindustria) e </w:t>
      </w:r>
      <w:r w:rsidR="001334EA" w:rsidRPr="00554687">
        <w:rPr>
          <w:rFonts w:asciiTheme="majorHAnsi" w:hAnsiTheme="majorHAnsi" w:cstheme="majorHAnsi"/>
          <w:b/>
          <w:bCs/>
          <w:color w:val="002060"/>
          <w:sz w:val="22"/>
          <w:szCs w:val="22"/>
        </w:rPr>
        <w:t>Andrea</w:t>
      </w:r>
      <w:r w:rsidR="001334EA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1334EA">
        <w:rPr>
          <w:rFonts w:asciiTheme="majorHAnsi" w:hAnsiTheme="majorHAnsi" w:cstheme="majorHAnsi"/>
          <w:b/>
          <w:bCs/>
          <w:color w:val="002060"/>
          <w:sz w:val="22"/>
          <w:szCs w:val="22"/>
        </w:rPr>
        <w:t>Bianchi</w:t>
      </w:r>
      <w:r w:rsidR="001334EA">
        <w:rPr>
          <w:rFonts w:asciiTheme="majorHAnsi" w:hAnsiTheme="majorHAnsi" w:cstheme="majorHAnsi"/>
          <w:color w:val="002060"/>
          <w:sz w:val="22"/>
          <w:szCs w:val="22"/>
        </w:rPr>
        <w:t xml:space="preserve"> (</w:t>
      </w:r>
      <w:r w:rsidR="001334EA" w:rsidRPr="00554687">
        <w:rPr>
          <w:rFonts w:asciiTheme="majorHAnsi" w:hAnsiTheme="majorHAnsi" w:cstheme="majorHAnsi"/>
          <w:color w:val="002060"/>
          <w:sz w:val="22"/>
          <w:szCs w:val="22"/>
        </w:rPr>
        <w:t>Confidi Systema</w:t>
      </w:r>
      <w:r w:rsidR="001334EA">
        <w:rPr>
          <w:rFonts w:asciiTheme="majorHAnsi" w:hAnsiTheme="majorHAnsi" w:cstheme="majorHAnsi"/>
          <w:color w:val="002060"/>
          <w:sz w:val="22"/>
          <w:szCs w:val="22"/>
        </w:rPr>
        <w:t>)</w:t>
      </w:r>
      <w:r w:rsidR="00D95A88">
        <w:rPr>
          <w:rFonts w:asciiTheme="majorHAnsi" w:hAnsiTheme="majorHAnsi" w:cstheme="majorHAnsi"/>
          <w:color w:val="002060"/>
          <w:sz w:val="22"/>
          <w:szCs w:val="22"/>
        </w:rPr>
        <w:t xml:space="preserve"> e</w:t>
      </w:r>
      <w:r w:rsidR="00AC1F6D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E71FA3">
        <w:rPr>
          <w:rFonts w:asciiTheme="majorHAnsi" w:hAnsiTheme="majorHAnsi" w:cstheme="majorHAnsi"/>
          <w:color w:val="002060"/>
          <w:sz w:val="22"/>
          <w:szCs w:val="22"/>
        </w:rPr>
        <w:t>dal</w:t>
      </w:r>
      <w:r w:rsidR="00D95A88">
        <w:rPr>
          <w:rFonts w:asciiTheme="majorHAnsi" w:hAnsiTheme="majorHAnsi" w:cstheme="majorHAnsi"/>
          <w:color w:val="002060"/>
          <w:sz w:val="22"/>
          <w:szCs w:val="22"/>
        </w:rPr>
        <w:t>la presentazione dei dati leasing.</w:t>
      </w:r>
      <w:r w:rsidR="00FB26C0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256E0843" w14:textId="093FABE3" w:rsidR="00AC1F6D" w:rsidRDefault="00AC1F6D" w:rsidP="00D13887">
      <w:pPr>
        <w:pStyle w:val="Default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13A8414" w14:textId="6BE9A6A1" w:rsidR="00AC1F6D" w:rsidRDefault="00152956" w:rsidP="00AC1F6D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color w:val="002060"/>
          <w:sz w:val="22"/>
          <w:szCs w:val="22"/>
        </w:rPr>
        <w:t>Dai lavori</w:t>
      </w:r>
      <w:r w:rsidR="00AC1F6D">
        <w:rPr>
          <w:rFonts w:asciiTheme="majorHAnsi" w:hAnsiTheme="majorHAnsi" w:cstheme="majorHAnsi"/>
          <w:color w:val="002060"/>
          <w:sz w:val="22"/>
          <w:szCs w:val="22"/>
        </w:rPr>
        <w:t xml:space="preserve"> è emerso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 xml:space="preserve"> un forte </w:t>
      </w:r>
      <w:r w:rsidR="00AC1F6D" w:rsidRPr="00AC1F6D">
        <w:rPr>
          <w:rFonts w:asciiTheme="majorHAnsi" w:hAnsiTheme="majorHAnsi" w:cstheme="majorHAnsi"/>
          <w:color w:val="002060"/>
          <w:sz w:val="22"/>
          <w:szCs w:val="22"/>
        </w:rPr>
        <w:t xml:space="preserve">richiamo </w:t>
      </w:r>
      <w:r w:rsidRPr="00152956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 xml:space="preserve">affinché la </w:t>
      </w:r>
      <w:r w:rsidRPr="00376369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 xml:space="preserve">revisione dei criteri di Basilea3 </w:t>
      </w:r>
      <w:r w:rsidRPr="00152956">
        <w:rPr>
          <w:rFonts w:asciiTheme="majorHAnsi" w:hAnsiTheme="majorHAnsi" w:cs="Calibri Light (Titoli)"/>
          <w:color w:val="002060"/>
          <w:spacing w:val="-4"/>
          <w:sz w:val="22"/>
          <w:szCs w:val="22"/>
        </w:rPr>
        <w:t>non determini un restringimento dell’accesso al credito per PMI e artigiani, vera spina dorsale produttiva del Paese.</w:t>
      </w:r>
      <w:r w:rsidRPr="00512F77">
        <w:rPr>
          <w:rFonts w:asciiTheme="majorHAnsi" w:hAnsiTheme="majorHAnsi" w:cs="Calibri Light (Titoli)"/>
          <w:b/>
          <w:bCs/>
          <w:color w:val="002060"/>
          <w:spacing w:val="-4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2060"/>
          <w:sz w:val="22"/>
          <w:szCs w:val="22"/>
        </w:rPr>
        <w:t>C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>ondivis</w:t>
      </w:r>
      <w:r>
        <w:rPr>
          <w:rFonts w:asciiTheme="majorHAnsi" w:hAnsiTheme="majorHAnsi" w:cstheme="majorHAnsi"/>
          <w:color w:val="002060"/>
          <w:sz w:val="22"/>
          <w:szCs w:val="22"/>
        </w:rPr>
        <w:t>a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 xml:space="preserve"> da 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Assilea, 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>ABI, Confindustria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 e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 xml:space="preserve"> Confartigianato la necessità di sostenere concretamente le attività </w:t>
      </w:r>
      <w:r>
        <w:rPr>
          <w:rFonts w:asciiTheme="majorHAnsi" w:hAnsiTheme="majorHAnsi" w:cstheme="majorHAnsi"/>
          <w:color w:val="002060"/>
          <w:sz w:val="22"/>
          <w:szCs w:val="22"/>
        </w:rPr>
        <w:t>delle imprese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>, tramite interventi per la stabilizzazione di Impresa 4.0 e Nuova Sabatini</w:t>
      </w:r>
      <w:r w:rsidR="00AC1F6D">
        <w:rPr>
          <w:rFonts w:asciiTheme="majorHAnsi" w:hAnsiTheme="majorHAnsi" w:cstheme="majorHAnsi"/>
          <w:color w:val="002060"/>
          <w:sz w:val="22"/>
          <w:szCs w:val="22"/>
        </w:rPr>
        <w:t xml:space="preserve"> e 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>delle garanzie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 al credito</w:t>
      </w:r>
      <w:r w:rsidR="00AC1F6D">
        <w:rPr>
          <w:rFonts w:asciiTheme="majorHAnsi" w:hAnsiTheme="majorHAnsi" w:cstheme="majorHAnsi"/>
          <w:color w:val="002060"/>
          <w:sz w:val="22"/>
          <w:szCs w:val="22"/>
        </w:rPr>
        <w:t xml:space="preserve">. </w:t>
      </w:r>
      <w:r w:rsidR="00AC1F6D" w:rsidRPr="00D23413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6AB1EA1F" w14:textId="3E20B87A" w:rsidR="00AC1F6D" w:rsidRDefault="00AC1F6D" w:rsidP="00D13887">
      <w:pPr>
        <w:pStyle w:val="Default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BD61278" w14:textId="67D35FAE" w:rsidR="00AC1F6D" w:rsidRPr="00152956" w:rsidRDefault="00AC1F6D" w:rsidP="00AC1F6D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color w:val="002060"/>
          <w:sz w:val="22"/>
          <w:szCs w:val="22"/>
        </w:rPr>
        <w:t>L</w:t>
      </w:r>
      <w:r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e proposte emendative 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alle </w:t>
      </w:r>
      <w:r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regole di </w:t>
      </w:r>
      <w:r w:rsidRPr="00270AE6">
        <w:rPr>
          <w:rFonts w:asciiTheme="majorHAnsi" w:hAnsiTheme="majorHAnsi" w:cstheme="majorHAnsi"/>
          <w:b/>
          <w:bCs/>
          <w:color w:val="002060"/>
          <w:sz w:val="22"/>
          <w:szCs w:val="22"/>
        </w:rPr>
        <w:t>Basilea</w:t>
      </w: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3</w:t>
      </w:r>
      <w:r w:rsidR="00E71FA3">
        <w:rPr>
          <w:rFonts w:asciiTheme="majorHAnsi" w:hAnsiTheme="majorHAnsi" w:cstheme="majorHAnsi"/>
          <w:color w:val="002060"/>
          <w:sz w:val="22"/>
          <w:szCs w:val="22"/>
        </w:rPr>
        <w:t>,</w:t>
      </w:r>
      <w:r w:rsidRPr="00270AE6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presentate da Assilea e ABI, sono state approfondite da </w:t>
      </w:r>
      <w:r w:rsidRPr="00A252AE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Gianfranco </w:t>
      </w:r>
      <w:proofErr w:type="spellStart"/>
      <w:r w:rsidRPr="00A252AE">
        <w:rPr>
          <w:rFonts w:asciiTheme="majorHAnsi" w:hAnsiTheme="majorHAnsi" w:cstheme="majorHAnsi"/>
          <w:b/>
          <w:bCs/>
          <w:color w:val="002060"/>
          <w:sz w:val="22"/>
          <w:szCs w:val="22"/>
        </w:rPr>
        <w:t>Torriero</w:t>
      </w:r>
      <w:proofErr w:type="spellEnd"/>
      <w:r>
        <w:rPr>
          <w:rFonts w:asciiTheme="majorHAnsi" w:hAnsiTheme="majorHAnsi" w:cstheme="majorHAnsi"/>
          <w:color w:val="002060"/>
          <w:sz w:val="22"/>
          <w:szCs w:val="22"/>
        </w:rPr>
        <w:t xml:space="preserve"> (ABI), </w:t>
      </w:r>
      <w:r w:rsidRPr="00A252AE">
        <w:rPr>
          <w:rFonts w:asciiTheme="majorHAnsi" w:hAnsiTheme="majorHAnsi" w:cstheme="majorHAnsi"/>
          <w:b/>
          <w:bCs/>
          <w:color w:val="002060"/>
          <w:sz w:val="22"/>
          <w:szCs w:val="22"/>
        </w:rPr>
        <w:t>Andrea Pilati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 (Banca d’Italia), </w:t>
      </w:r>
      <w:r w:rsidRPr="002652A8">
        <w:rPr>
          <w:rFonts w:asciiTheme="majorHAnsi" w:hAnsiTheme="majorHAnsi" w:cstheme="majorHAnsi"/>
          <w:b/>
          <w:bCs/>
          <w:color w:val="002060"/>
          <w:sz w:val="22"/>
          <w:szCs w:val="22"/>
        </w:rPr>
        <w:t>Silvio D’Amico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 (MEF) e </w:t>
      </w:r>
      <w:r w:rsidRPr="002652A8">
        <w:rPr>
          <w:rFonts w:asciiTheme="majorHAnsi" w:hAnsiTheme="majorHAnsi" w:cstheme="majorHAnsi"/>
          <w:b/>
          <w:bCs/>
          <w:color w:val="002060"/>
          <w:sz w:val="22"/>
          <w:szCs w:val="22"/>
        </w:rPr>
        <w:t>Lorenzo Macchi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 (KPMG)</w:t>
      </w:r>
      <w:r w:rsidRPr="00270AE6">
        <w:rPr>
          <w:rFonts w:asciiTheme="majorHAnsi" w:hAnsiTheme="majorHAnsi" w:cstheme="majorHAnsi"/>
          <w:color w:val="002060"/>
          <w:sz w:val="22"/>
          <w:szCs w:val="22"/>
        </w:rPr>
        <w:t>.</w:t>
      </w:r>
      <w:r w:rsidR="00152956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152956"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Sull</w:t>
      </w:r>
      <w:r w:rsidRPr="006C6FFD"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e politiche 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di</w:t>
      </w:r>
      <w:r w:rsidRPr="006C6FFD"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sostegno 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a</w:t>
      </w:r>
      <w:r w:rsidRPr="006C6FFD"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llo sviluppo economico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</w:t>
      </w:r>
      <w:r w:rsidR="00152956"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sono intervenuti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</w:t>
      </w:r>
      <w:r w:rsidRPr="002652A8">
        <w:rPr>
          <w:rFonts w:asciiTheme="majorHAnsi" w:eastAsia="Times New Roman" w:hAnsiTheme="majorHAnsi" w:cstheme="majorHAnsi"/>
          <w:b/>
          <w:bCs/>
          <w:color w:val="002060"/>
          <w:sz w:val="22"/>
          <w:szCs w:val="22"/>
          <w:lang w:eastAsia="it-IT"/>
        </w:rPr>
        <w:t>David Costanzo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>Ernst&amp;Young</w:t>
      </w:r>
      <w:proofErr w:type="spellEnd"/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), </w:t>
      </w:r>
      <w:r w:rsidRPr="002652A8">
        <w:rPr>
          <w:rFonts w:asciiTheme="majorHAnsi" w:eastAsia="Times New Roman" w:hAnsiTheme="majorHAnsi" w:cstheme="majorHAnsi"/>
          <w:b/>
          <w:bCs/>
          <w:color w:val="002060"/>
          <w:sz w:val="22"/>
          <w:szCs w:val="22"/>
          <w:lang w:eastAsia="it-IT"/>
        </w:rPr>
        <w:t>Luca La Ragione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(MCC) e </w:t>
      </w:r>
      <w:r w:rsidRPr="002652A8">
        <w:rPr>
          <w:rFonts w:asciiTheme="majorHAnsi" w:eastAsia="Times New Roman" w:hAnsiTheme="majorHAnsi" w:cstheme="majorHAnsi"/>
          <w:b/>
          <w:bCs/>
          <w:color w:val="002060"/>
          <w:sz w:val="22"/>
          <w:szCs w:val="22"/>
          <w:lang w:eastAsia="it-IT"/>
        </w:rPr>
        <w:t>Vincenzo Pedicini</w:t>
      </w:r>
      <w:r>
        <w:rPr>
          <w:rFonts w:asciiTheme="majorHAnsi" w:eastAsia="Times New Roman" w:hAnsiTheme="majorHAnsi" w:cstheme="majorHAnsi"/>
          <w:color w:val="002060"/>
          <w:sz w:val="22"/>
          <w:szCs w:val="22"/>
          <w:lang w:eastAsia="it-IT"/>
        </w:rPr>
        <w:t xml:space="preserve"> (SACE). </w:t>
      </w:r>
    </w:p>
    <w:p w14:paraId="220BEE3D" w14:textId="3EBF66D0" w:rsidR="00AC1F6D" w:rsidRPr="00371621" w:rsidRDefault="00AC1F6D" w:rsidP="00AC1F6D">
      <w:pPr>
        <w:jc w:val="both"/>
        <w:rPr>
          <w:rFonts w:asciiTheme="majorHAnsi" w:eastAsia="Times New Roman" w:hAnsiTheme="majorHAnsi" w:cstheme="majorHAnsi"/>
          <w:color w:val="002060"/>
          <w:sz w:val="28"/>
          <w:szCs w:val="28"/>
          <w:lang w:eastAsia="it-IT"/>
        </w:rPr>
      </w:pPr>
    </w:p>
    <w:p w14:paraId="5CB73B5E" w14:textId="5EE843E7" w:rsidR="00371621" w:rsidRPr="00371621" w:rsidRDefault="00371621" w:rsidP="00D862DF">
      <w:pPr>
        <w:jc w:val="both"/>
        <w:rPr>
          <w:rFonts w:asciiTheme="majorHAnsi" w:hAnsiTheme="majorHAnsi" w:cs="Calibri Light (Titoli)"/>
          <w:color w:val="002060"/>
          <w:spacing w:val="-2"/>
          <w:sz w:val="22"/>
          <w:szCs w:val="22"/>
        </w:rPr>
      </w:pPr>
      <w:r w:rsidRPr="00371621">
        <w:rPr>
          <w:rFonts w:asciiTheme="majorHAnsi" w:hAnsiTheme="majorHAnsi" w:cs="Calibri Light (Titoli)"/>
          <w:color w:val="002060"/>
          <w:spacing w:val="-2"/>
          <w:sz w:val="22"/>
          <w:szCs w:val="22"/>
        </w:rPr>
        <w:t>IL MERCATO DEL LEASING SI CONFERMA IN CRESCITA</w:t>
      </w:r>
    </w:p>
    <w:p w14:paraId="135B710A" w14:textId="082A6314" w:rsidR="00D862DF" w:rsidRPr="00FD68C5" w:rsidRDefault="00152956" w:rsidP="00D862DF">
      <w:pPr>
        <w:jc w:val="both"/>
        <w:rPr>
          <w:rFonts w:asciiTheme="majorHAnsi" w:hAnsiTheme="majorHAnsi" w:cs="Calibri Light (Titoli)"/>
          <w:color w:val="002060"/>
          <w:spacing w:val="-2"/>
          <w:sz w:val="21"/>
          <w:szCs w:val="21"/>
        </w:rPr>
      </w:pP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Nei primi nove mesi dell’anno lo stipulato segna </w:t>
      </w:r>
      <w:r w:rsidR="00E71FA3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un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 </w:t>
      </w:r>
      <w:r w:rsidRPr="00FD68C5">
        <w:rPr>
          <w:rFonts w:asciiTheme="majorHAnsi" w:hAnsiTheme="majorHAnsi" w:cs="Calibri Light (Titoli)"/>
          <w:b/>
          <w:bCs/>
          <w:color w:val="002060"/>
          <w:spacing w:val="-2"/>
          <w:sz w:val="21"/>
          <w:szCs w:val="21"/>
        </w:rPr>
        <w:t xml:space="preserve">+11,7% 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rispetto allo stesso periodo del 2022, con un volume di oltre</w:t>
      </w:r>
      <w:r w:rsidRPr="00FD68C5">
        <w:rPr>
          <w:rFonts w:asciiTheme="majorHAnsi" w:hAnsiTheme="majorHAnsi" w:cs="Calibri Light (Titoli)"/>
          <w:b/>
          <w:bCs/>
          <w:color w:val="002060"/>
          <w:spacing w:val="-2"/>
          <w:sz w:val="21"/>
          <w:szCs w:val="21"/>
        </w:rPr>
        <w:t xml:space="preserve"> 25,1 miliardi di euro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, </w:t>
      </w:r>
      <w:r w:rsidR="00AC1F6D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conferma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ndo</w:t>
      </w:r>
      <w:r w:rsidR="00AC1F6D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 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i</w:t>
      </w:r>
      <w:r w:rsidR="00AC1F6D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l trend di crescita iniziato nel 2021 (+25,6% sul 2020) e proseguito nel 2022 (+9,7% sul 2021</w:t>
      </w:r>
      <w:r w:rsidR="00D862DF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, con</w:t>
      </w:r>
      <w:r w:rsidR="00A92E61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 </w:t>
      </w:r>
      <w:r w:rsidR="00D862DF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31,5 miliardi di erogato, l’importo più elevato registrato dal 2008</w:t>
      </w:r>
      <w:r w:rsidR="00AC1F6D"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). </w:t>
      </w:r>
    </w:p>
    <w:p w14:paraId="1B7D1093" w14:textId="27F18C14" w:rsidR="00371621" w:rsidRPr="00FD68C5" w:rsidRDefault="00371621" w:rsidP="00D862DF">
      <w:pPr>
        <w:jc w:val="both"/>
        <w:rPr>
          <w:rFonts w:asciiTheme="majorHAnsi" w:hAnsiTheme="majorHAnsi" w:cs="Calibri Light (Titoli)"/>
          <w:color w:val="002060"/>
          <w:spacing w:val="-2"/>
          <w:sz w:val="10"/>
          <w:szCs w:val="10"/>
        </w:rPr>
      </w:pPr>
    </w:p>
    <w:p w14:paraId="5F03F734" w14:textId="77777777" w:rsidR="00371621" w:rsidRPr="00FD68C5" w:rsidRDefault="00371621" w:rsidP="00371621">
      <w:pPr>
        <w:jc w:val="both"/>
        <w:rPr>
          <w:rFonts w:asciiTheme="majorHAnsi" w:hAnsiTheme="majorHAnsi" w:cs="Calibri Light (Titoli)"/>
          <w:color w:val="002060"/>
          <w:spacing w:val="-2"/>
          <w:sz w:val="21"/>
          <w:szCs w:val="21"/>
        </w:rPr>
      </w:pP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 xml:space="preserve">Il leasing ha finanziato </w:t>
      </w:r>
      <w:r w:rsidRPr="00FD68C5">
        <w:rPr>
          <w:rFonts w:asciiTheme="majorHAnsi" w:hAnsiTheme="majorHAnsi" w:cs="Calibri Light (Titoli)"/>
          <w:b/>
          <w:bCs/>
          <w:color w:val="002060"/>
          <w:spacing w:val="-2"/>
          <w:sz w:val="21"/>
          <w:szCs w:val="21"/>
        </w:rPr>
        <w:t>4,7 miliardi di nuovi investimenti Nuova Sabatini</w:t>
      </w:r>
      <w:r w:rsidRPr="00FD68C5">
        <w:rPr>
          <w:rFonts w:asciiTheme="majorHAnsi" w:hAnsiTheme="majorHAnsi" w:cs="Calibri Light (Titoli)"/>
          <w:color w:val="002060"/>
          <w:spacing w:val="-2"/>
          <w:sz w:val="21"/>
          <w:szCs w:val="21"/>
        </w:rPr>
        <w:t>, di cui 2,9 miliardi su beni del Piano Industria 4.0. L’incidenza del leasing sul totale Nuova Sabatini, raggiunge il 70% del totale.</w:t>
      </w:r>
    </w:p>
    <w:p w14:paraId="327155A1" w14:textId="77777777" w:rsidR="00D862DF" w:rsidRPr="00FD68C5" w:rsidRDefault="00D862DF" w:rsidP="00AC1F6D">
      <w:pPr>
        <w:jc w:val="both"/>
        <w:rPr>
          <w:rFonts w:asciiTheme="majorHAnsi" w:hAnsiTheme="majorHAnsi" w:cstheme="majorHAnsi"/>
          <w:color w:val="002060"/>
          <w:sz w:val="10"/>
          <w:szCs w:val="10"/>
        </w:rPr>
      </w:pPr>
    </w:p>
    <w:p w14:paraId="3C5ED509" w14:textId="3066D201" w:rsidR="00D862DF" w:rsidRPr="00FD68C5" w:rsidRDefault="00282004" w:rsidP="00AC1F6D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FD68C5">
        <w:rPr>
          <w:rFonts w:asciiTheme="majorHAnsi" w:hAnsiTheme="majorHAnsi" w:cstheme="majorHAnsi"/>
          <w:color w:val="002060"/>
          <w:sz w:val="21"/>
          <w:szCs w:val="21"/>
        </w:rPr>
        <w:t>I</w:t>
      </w:r>
      <w:r w:rsidR="00152956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l settore </w:t>
      </w:r>
      <w:r w:rsidR="00AC1F6D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Auto</w:t>
      </w:r>
      <w:r w:rsidR="00152956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(</w:t>
      </w:r>
      <w:r w:rsidR="00C80768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veicoli industriali, commerciali e autovetture) registra un balzo del </w:t>
      </w:r>
      <w:r w:rsidR="00C80768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+</w:t>
      </w:r>
      <w:r w:rsidR="00AC1F6D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34%</w:t>
      </w:r>
      <w:r w:rsidR="00D862DF" w:rsidRPr="00FD68C5">
        <w:rPr>
          <w:rFonts w:asciiTheme="majorHAnsi" w:hAnsiTheme="majorHAnsi" w:cstheme="majorHAnsi"/>
          <w:color w:val="002060"/>
          <w:sz w:val="21"/>
          <w:szCs w:val="21"/>
        </w:rPr>
        <w:t>,</w:t>
      </w:r>
      <w:r w:rsidR="00D862DF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 </w:t>
      </w:r>
      <w:r w:rsidR="0031411F" w:rsidRPr="00FD68C5">
        <w:rPr>
          <w:rFonts w:asciiTheme="majorHAnsi" w:hAnsiTheme="majorHAnsi" w:cstheme="majorHAnsi"/>
          <w:color w:val="002060"/>
          <w:sz w:val="21"/>
          <w:szCs w:val="21"/>
        </w:rPr>
        <w:t>con il leasing e NLT (noleggio a lungo termine) che crescono più delle immatricolazioni</w:t>
      </w:r>
      <w:r w:rsidR="00A92E61" w:rsidRPr="00FD68C5">
        <w:rPr>
          <w:rFonts w:asciiTheme="majorHAnsi" w:hAnsiTheme="majorHAnsi" w:cstheme="majorHAnsi"/>
          <w:color w:val="002060"/>
          <w:sz w:val="21"/>
          <w:szCs w:val="21"/>
        </w:rPr>
        <w:t>,</w:t>
      </w:r>
      <w:r w:rsidR="0031411F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portando così la loro penetrazione a quasi il 30%. Finanziata</w:t>
      </w:r>
      <w:r w:rsidR="00A92E61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da leasing e NLT</w:t>
      </w:r>
      <w:r w:rsidR="0031411F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</w:t>
      </w:r>
      <w:r w:rsidR="0031411F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un’autovettura </w:t>
      </w:r>
      <w:r w:rsidR="0031411F" w:rsidRPr="00FD68C5">
        <w:rPr>
          <w:rFonts w:asciiTheme="majorHAnsi" w:hAnsiTheme="majorHAnsi" w:cstheme="majorHAnsi"/>
          <w:b/>
          <w:bCs/>
          <w:i/>
          <w:iCs/>
          <w:color w:val="002060"/>
          <w:sz w:val="21"/>
          <w:szCs w:val="21"/>
        </w:rPr>
        <w:t>green</w:t>
      </w:r>
      <w:r w:rsidR="0031411F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 su</w:t>
      </w:r>
      <w:r w:rsidR="00A92E61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lle</w:t>
      </w:r>
      <w:r w:rsidR="0031411F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 tre</w:t>
      </w:r>
      <w:r w:rsidR="00A92E61"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 immatricolate</w:t>
      </w:r>
      <w:r w:rsidR="0031411F" w:rsidRPr="00FD68C5">
        <w:rPr>
          <w:rFonts w:asciiTheme="majorHAnsi" w:hAnsiTheme="majorHAnsi" w:cstheme="majorHAnsi"/>
          <w:color w:val="002060"/>
          <w:sz w:val="21"/>
          <w:szCs w:val="21"/>
        </w:rPr>
        <w:t>.</w:t>
      </w:r>
    </w:p>
    <w:p w14:paraId="5CCFE6E1" w14:textId="77777777" w:rsidR="00D862DF" w:rsidRPr="00FD68C5" w:rsidRDefault="00AC1F6D" w:rsidP="00AC1F6D">
      <w:pPr>
        <w:jc w:val="both"/>
        <w:rPr>
          <w:rFonts w:asciiTheme="majorHAnsi" w:hAnsiTheme="majorHAnsi" w:cstheme="majorHAnsi"/>
          <w:color w:val="002060"/>
          <w:sz w:val="10"/>
          <w:szCs w:val="10"/>
        </w:rPr>
      </w:pPr>
      <w:r w:rsidRPr="00FD68C5">
        <w:rPr>
          <w:rFonts w:asciiTheme="majorHAnsi" w:hAnsiTheme="majorHAnsi" w:cstheme="majorHAnsi"/>
          <w:color w:val="002060"/>
          <w:sz w:val="10"/>
          <w:szCs w:val="10"/>
        </w:rPr>
        <w:t xml:space="preserve"> </w:t>
      </w:r>
    </w:p>
    <w:p w14:paraId="31A98AE8" w14:textId="5EAE8B60" w:rsidR="00D862DF" w:rsidRPr="00FD68C5" w:rsidRDefault="00D862DF" w:rsidP="00D862DF">
      <w:pPr>
        <w:jc w:val="both"/>
        <w:rPr>
          <w:rFonts w:asciiTheme="majorHAnsi" w:hAnsiTheme="majorHAnsi" w:cs="Calibri Light (Titoli)"/>
          <w:color w:val="002060"/>
          <w:spacing w:val="-6"/>
          <w:sz w:val="21"/>
          <w:szCs w:val="21"/>
        </w:rPr>
      </w:pPr>
      <w:r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L</w:t>
      </w:r>
      <w:r w:rsidR="00AC1F6D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o </w:t>
      </w:r>
      <w:r w:rsidR="00AC1F6D" w:rsidRPr="00FD68C5">
        <w:rPr>
          <w:rFonts w:asciiTheme="majorHAnsi" w:hAnsiTheme="majorHAnsi" w:cs="Calibri Light (Titoli)"/>
          <w:b/>
          <w:bCs/>
          <w:color w:val="002060"/>
          <w:spacing w:val="-6"/>
          <w:sz w:val="21"/>
          <w:szCs w:val="21"/>
        </w:rPr>
        <w:t>Strumentale</w:t>
      </w:r>
      <w:r w:rsidR="00C80768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,</w:t>
      </w:r>
      <w:r w:rsidR="00282004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in flessione con un</w:t>
      </w:r>
      <w:r w:rsidR="00AC1F6D" w:rsidRPr="00FD68C5">
        <w:rPr>
          <w:rFonts w:asciiTheme="majorHAnsi" w:hAnsiTheme="majorHAnsi" w:cs="Calibri Light (Titoli)"/>
          <w:b/>
          <w:bCs/>
          <w:color w:val="002060"/>
          <w:spacing w:val="-6"/>
          <w:sz w:val="21"/>
          <w:szCs w:val="21"/>
        </w:rPr>
        <w:t xml:space="preserve"> </w:t>
      </w:r>
      <w:r w:rsidR="00282004" w:rsidRPr="00FD68C5">
        <w:rPr>
          <w:rFonts w:asciiTheme="majorHAnsi" w:hAnsiTheme="majorHAnsi" w:cs="Calibri Light (Titoli)"/>
          <w:b/>
          <w:bCs/>
          <w:color w:val="002060"/>
          <w:spacing w:val="-6"/>
          <w:sz w:val="21"/>
          <w:szCs w:val="21"/>
        </w:rPr>
        <w:t>-</w:t>
      </w:r>
      <w:r w:rsidR="00C80768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13,5%, </w:t>
      </w:r>
      <w:r w:rsidR="00AC1F6D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risente delle politiche monetarie restrittive</w:t>
      </w:r>
      <w:r w:rsidR="00C80768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della UE. </w:t>
      </w:r>
      <w:r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In testa alla classifica per importo dei beni 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si </w:t>
      </w:r>
      <w:r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trova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n</w:t>
      </w:r>
      <w:r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o i macchinari non targati per l’edilizia civile e stradale, le macchine utensili per asportazione e deformazione e i macchinari per l’agricoltura, foreste e pesca.</w:t>
      </w:r>
      <w:r w:rsidR="0037162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Si segnala la crescita d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e</w:t>
      </w:r>
      <w:r w:rsidR="0037162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i macchinari per l’industria chimica e farmaceutica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</w:t>
      </w:r>
      <w:r w:rsidR="0037162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(+6,7%)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e le</w:t>
      </w:r>
      <w:r w:rsidR="0037162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 xml:space="preserve"> apparecchiature ottiche e strumenti di precisione (+39,2%)</w:t>
      </w:r>
      <w:r w:rsidR="00A92E61" w:rsidRPr="00FD68C5">
        <w:rPr>
          <w:rFonts w:asciiTheme="majorHAnsi" w:hAnsiTheme="majorHAnsi" w:cs="Calibri Light (Titoli)"/>
          <w:color w:val="002060"/>
          <w:spacing w:val="-6"/>
          <w:sz w:val="21"/>
          <w:szCs w:val="21"/>
        </w:rPr>
        <w:t>.</w:t>
      </w:r>
    </w:p>
    <w:p w14:paraId="39067199" w14:textId="4740D5EB" w:rsidR="00D862DF" w:rsidRPr="00FD68C5" w:rsidRDefault="00D862DF" w:rsidP="00D862DF">
      <w:pPr>
        <w:jc w:val="both"/>
        <w:rPr>
          <w:rFonts w:asciiTheme="majorHAnsi" w:hAnsiTheme="majorHAnsi" w:cstheme="majorHAnsi"/>
          <w:color w:val="002060"/>
          <w:sz w:val="10"/>
          <w:szCs w:val="10"/>
        </w:rPr>
      </w:pPr>
    </w:p>
    <w:p w14:paraId="1D5B8252" w14:textId="4846F0A1" w:rsidR="00D862DF" w:rsidRPr="00FD68C5" w:rsidRDefault="00561747" w:rsidP="00D862DF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Complessivamente in flessione, </w:t>
      </w:r>
      <w:r w:rsidR="00EF5339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il settore </w:t>
      </w:r>
      <w:r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Immobiliare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registra la consistente crescita </w:t>
      </w:r>
      <w:r w:rsidR="00EF5339" w:rsidRPr="00FD68C5">
        <w:rPr>
          <w:rFonts w:asciiTheme="majorHAnsi" w:hAnsiTheme="majorHAnsi" w:cstheme="majorHAnsi"/>
          <w:color w:val="002060"/>
          <w:sz w:val="21"/>
          <w:szCs w:val="21"/>
        </w:rPr>
        <w:t>(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>+7,9%</w:t>
      </w:r>
      <w:r w:rsidR="00EF5339" w:rsidRPr="00FD68C5">
        <w:rPr>
          <w:rFonts w:asciiTheme="majorHAnsi" w:hAnsiTheme="majorHAnsi" w:cstheme="majorHAnsi"/>
          <w:color w:val="002060"/>
          <w:sz w:val="21"/>
          <w:szCs w:val="21"/>
        </w:rPr>
        <w:t>)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 del segmento “da costruire” </w:t>
      </w:r>
      <w:r w:rsidR="00EF5339"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con taglio 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>s</w:t>
      </w:r>
      <w:r w:rsidR="00EF5339" w:rsidRPr="00FD68C5">
        <w:rPr>
          <w:rFonts w:asciiTheme="majorHAnsi" w:hAnsiTheme="majorHAnsi" w:cstheme="majorHAnsi"/>
          <w:color w:val="002060"/>
          <w:sz w:val="21"/>
          <w:szCs w:val="21"/>
        </w:rPr>
        <w:t>uperiore a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 xml:space="preserve">i 2,5 milioni di euro. Triplica il volume del leasing </w:t>
      </w:r>
      <w:r w:rsidRPr="00FD68C5">
        <w:rPr>
          <w:rFonts w:asciiTheme="majorHAnsi" w:hAnsiTheme="majorHAnsi" w:cstheme="majorHAnsi"/>
          <w:b/>
          <w:bCs/>
          <w:color w:val="002060"/>
          <w:sz w:val="21"/>
          <w:szCs w:val="21"/>
        </w:rPr>
        <w:t>Energy</w:t>
      </w:r>
      <w:r w:rsidRPr="00FD68C5">
        <w:rPr>
          <w:rFonts w:asciiTheme="majorHAnsi" w:hAnsiTheme="majorHAnsi" w:cstheme="majorHAnsi"/>
          <w:color w:val="002060"/>
          <w:sz w:val="21"/>
          <w:szCs w:val="21"/>
        </w:rPr>
        <w:t>.</w:t>
      </w:r>
    </w:p>
    <w:p w14:paraId="72CD7F2D" w14:textId="77777777" w:rsidR="00FD68C5" w:rsidRPr="00FD68C5" w:rsidRDefault="00FD68C5" w:rsidP="00D13887">
      <w:pPr>
        <w:pStyle w:val="Default"/>
        <w:jc w:val="both"/>
        <w:rPr>
          <w:rFonts w:asciiTheme="majorHAnsi" w:hAnsiTheme="majorHAnsi" w:cstheme="majorHAnsi"/>
          <w:color w:val="002060"/>
          <w:sz w:val="18"/>
          <w:szCs w:val="18"/>
          <w:u w:val="single"/>
        </w:rPr>
      </w:pPr>
    </w:p>
    <w:p w14:paraId="20D38E64" w14:textId="32AEACEA" w:rsidR="00AC1F6D" w:rsidRPr="00197C2A" w:rsidRDefault="00AC1F6D" w:rsidP="00D13887">
      <w:pPr>
        <w:pStyle w:val="Default"/>
        <w:jc w:val="both"/>
        <w:rPr>
          <w:rFonts w:asciiTheme="majorHAnsi" w:hAnsiTheme="majorHAnsi" w:cstheme="majorHAnsi"/>
          <w:color w:val="002060"/>
          <w:sz w:val="21"/>
          <w:szCs w:val="21"/>
          <w:u w:val="single"/>
        </w:rPr>
      </w:pPr>
      <w:r w:rsidRPr="00197C2A">
        <w:rPr>
          <w:rFonts w:asciiTheme="majorHAnsi" w:hAnsiTheme="majorHAnsi" w:cstheme="majorHAnsi"/>
          <w:color w:val="002060"/>
          <w:sz w:val="21"/>
          <w:szCs w:val="21"/>
          <w:u w:val="single"/>
        </w:rPr>
        <w:t>Le dichiarazioni</w:t>
      </w:r>
      <w:r w:rsidR="00197C2A" w:rsidRPr="00197C2A">
        <w:rPr>
          <w:rFonts w:asciiTheme="majorHAnsi" w:hAnsiTheme="majorHAnsi" w:cstheme="majorHAnsi"/>
          <w:color w:val="002060"/>
          <w:sz w:val="21"/>
          <w:szCs w:val="21"/>
          <w:u w:val="single"/>
        </w:rPr>
        <w:t xml:space="preserve"> di oggi</w:t>
      </w:r>
    </w:p>
    <w:p w14:paraId="23F74E81" w14:textId="77777777" w:rsidR="00AC1F6D" w:rsidRPr="00197C2A" w:rsidRDefault="00AC1F6D" w:rsidP="00D13887">
      <w:pPr>
        <w:pStyle w:val="Default"/>
        <w:jc w:val="both"/>
        <w:rPr>
          <w:rFonts w:asciiTheme="majorHAnsi" w:hAnsiTheme="majorHAnsi" w:cstheme="majorHAnsi"/>
          <w:color w:val="002060"/>
          <w:sz w:val="10"/>
          <w:szCs w:val="10"/>
        </w:rPr>
      </w:pPr>
    </w:p>
    <w:p w14:paraId="0BBE217E" w14:textId="190C76A1" w:rsidR="00D95A88" w:rsidRPr="00197C2A" w:rsidRDefault="00D95A88" w:rsidP="00D95A88">
      <w:pPr>
        <w:jc w:val="both"/>
        <w:rPr>
          <w:rFonts w:asciiTheme="majorHAnsi" w:hAnsiTheme="majorHAnsi" w:cstheme="majorHAnsi"/>
          <w:b/>
          <w:bCs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Carlo </w:t>
      </w:r>
      <w:proofErr w:type="spellStart"/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Mescieri</w:t>
      </w:r>
      <w:proofErr w:type="spellEnd"/>
      <w:r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, Presidente di </w:t>
      </w:r>
      <w:proofErr w:type="spellStart"/>
      <w:r w:rsidRPr="00197C2A">
        <w:rPr>
          <w:rFonts w:asciiTheme="majorHAnsi" w:hAnsiTheme="majorHAnsi" w:cstheme="majorHAnsi"/>
          <w:color w:val="002060"/>
          <w:sz w:val="21"/>
          <w:szCs w:val="21"/>
        </w:rPr>
        <w:t>Assilea</w:t>
      </w:r>
      <w:proofErr w:type="spellEnd"/>
    </w:p>
    <w:p w14:paraId="6267769D" w14:textId="58C303B4" w:rsidR="00C22B0C" w:rsidRPr="00197C2A" w:rsidRDefault="00D95A88" w:rsidP="00C22B0C">
      <w:pPr>
        <w:jc w:val="both"/>
        <w:rPr>
          <w:rFonts w:asciiTheme="majorHAnsi" w:hAnsiTheme="majorHAnsi" w:cstheme="majorHAnsi"/>
          <w:i/>
          <w:iCs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“</w:t>
      </w:r>
      <w:r w:rsidR="00C22B0C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L’85,4% delle imprese che hanno stipulato contratti di leasing nel 2022 sono state PMI. Queste imprese si trovano in un momento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storico</w:t>
      </w:r>
      <w:r w:rsidR="00C22B0C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cruciale a causa degli effetti che le nuove regole europee per il sistema bancario potranno avere sulla loro possibilità 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e capacità </w:t>
      </w:r>
      <w:r w:rsidR="00C22B0C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di investire”.</w:t>
      </w:r>
    </w:p>
    <w:p w14:paraId="24201091" w14:textId="77777777" w:rsidR="00C22B0C" w:rsidRPr="00197C2A" w:rsidRDefault="00C22B0C" w:rsidP="002652A8">
      <w:pPr>
        <w:jc w:val="both"/>
        <w:rPr>
          <w:rFonts w:asciiTheme="majorHAnsi" w:hAnsiTheme="majorHAnsi" w:cstheme="majorHAnsi"/>
          <w:i/>
          <w:iCs/>
          <w:color w:val="002060"/>
          <w:sz w:val="10"/>
          <w:szCs w:val="10"/>
        </w:rPr>
      </w:pPr>
    </w:p>
    <w:p w14:paraId="18B7C1C2" w14:textId="4D107E9E" w:rsidR="00AE6EEA" w:rsidRPr="00197C2A" w:rsidRDefault="00C22B0C" w:rsidP="002652A8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“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Abbiamo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dunque 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messo l’equazione </w:t>
      </w:r>
      <w:r w:rsidR="00D95A88" w:rsidRPr="00197C2A">
        <w:rPr>
          <w:rFonts w:asciiTheme="majorHAnsi" w:hAnsiTheme="majorHAnsi" w:cstheme="majorHAnsi"/>
          <w:b/>
          <w:bCs/>
          <w:i/>
          <w:iCs/>
          <w:color w:val="002060"/>
          <w:sz w:val="21"/>
          <w:szCs w:val="21"/>
        </w:rPr>
        <w:t>accesso al credito delle PMI e crescita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al centro del dialogo e del confronto con il governo e le istituzioni europee, per ottenere, con il sostegno di ABI, un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assorbimento patrimoniale degli investimenti produttivi in leasing che sia adeguato alla minore rischiosità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di questo strum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e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nto, 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dimostrata dalle evidenze empiriche che testimoniano minori perdite rispetto ai finanziamenti tradizionali</w:t>
      </w:r>
      <w:r w:rsidR="00D95A88" w:rsidRPr="00197C2A">
        <w:rPr>
          <w:rFonts w:asciiTheme="majorHAnsi" w:hAnsiTheme="majorHAnsi" w:cstheme="majorHAnsi"/>
          <w:color w:val="002060"/>
          <w:sz w:val="21"/>
          <w:szCs w:val="21"/>
        </w:rPr>
        <w:t>”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.</w:t>
      </w:r>
    </w:p>
    <w:p w14:paraId="3BFB0257" w14:textId="77777777" w:rsidR="00AC1F6D" w:rsidRPr="00197C2A" w:rsidRDefault="00AC1F6D" w:rsidP="002652A8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</w:p>
    <w:p w14:paraId="6C1A5BE3" w14:textId="7A4D94DF" w:rsidR="00D95A88" w:rsidRPr="00197C2A" w:rsidRDefault="00D95A88" w:rsidP="002652A8">
      <w:pPr>
        <w:jc w:val="both"/>
        <w:rPr>
          <w:rFonts w:asciiTheme="majorHAnsi" w:hAnsiTheme="majorHAnsi" w:cstheme="majorHAnsi"/>
          <w:b/>
          <w:bCs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Antonio Patuelli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, Presidente di ABI</w:t>
      </w:r>
    </w:p>
    <w:p w14:paraId="04622E23" w14:textId="0A7763C3" w:rsidR="00CC5E1E" w:rsidRPr="00197C2A" w:rsidRDefault="00CC5E1E" w:rsidP="00CC5E1E">
      <w:pPr>
        <w:jc w:val="both"/>
        <w:rPr>
          <w:rFonts w:asciiTheme="majorHAnsi" w:hAnsiTheme="majorHAnsi" w:cstheme="majorHAnsi"/>
          <w:i/>
          <w:iCs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“Nei 10 anni trascorsi, quando costava poco, abbiamo perso l’occasione di ridurre il debito pubblico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. O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ggi ci troviamo con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un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valore assoluto accresciuto e l’aumento dei tassi, di conseguenza il contenimento del debito è la prima riforma da fare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;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poi le privatizzazioni di tutto ciò che non è essenziale. Dobbiamo rendere più efficienti le produzioni italiane, riducendo il peso degli adempimenti e favorire</w:t>
      </w:r>
      <w:r w:rsidR="00C22B0C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il più possibile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l’arrivo di capitali </w:t>
      </w:r>
      <w:r w:rsidR="00C22B0C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e nuovi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investimenti”.</w:t>
      </w:r>
    </w:p>
    <w:p w14:paraId="5A772720" w14:textId="19588329" w:rsidR="00CC5E1E" w:rsidRPr="00197C2A" w:rsidRDefault="00CC5E1E" w:rsidP="002652A8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</w:p>
    <w:p w14:paraId="73AC8B9E" w14:textId="64E222A4" w:rsidR="00AC1F6D" w:rsidRPr="00197C2A" w:rsidRDefault="00AC1F6D" w:rsidP="002652A8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Irene Tinagli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, Presidente </w:t>
      </w:r>
      <w:r w:rsidR="007042CF" w:rsidRPr="00197C2A">
        <w:rPr>
          <w:rFonts w:asciiTheme="majorHAnsi" w:hAnsiTheme="majorHAnsi" w:cstheme="majorHAnsi"/>
          <w:color w:val="002060"/>
          <w:sz w:val="21"/>
          <w:szCs w:val="21"/>
        </w:rPr>
        <w:t>dell’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ECON (Commissione problemi economici e monetari dell’Europarlamento)</w:t>
      </w:r>
    </w:p>
    <w:p w14:paraId="3A3F5478" w14:textId="6A3E5504" w:rsidR="00CC5E1E" w:rsidRPr="00197C2A" w:rsidRDefault="00AE6EEA" w:rsidP="00146D80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color w:val="002060"/>
          <w:sz w:val="21"/>
          <w:szCs w:val="21"/>
        </w:rPr>
        <w:t>“</w:t>
      </w:r>
      <w:r w:rsidR="00F87AAD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Oggi a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bbiamo un sistema bancario più solido rispetto a turbolenze esterne</w:t>
      </w:r>
      <w:r w:rsidR="00AC1F6D"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,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ma il tema dell’accesso al credito delle piccole 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e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medie</w:t>
      </w:r>
      <w:r w:rsidR="003F2250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imprese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rimane un tema centrale</w:t>
      </w:r>
      <w:r w:rsidR="009C438E"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, </w:t>
      </w:r>
      <w:r w:rsidR="009C438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perché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</w:t>
      </w:r>
      <w:r w:rsidR="006F6E1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restringendolo si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rischia di penalizzare la crescita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.</w:t>
      </w:r>
      <w:r w:rsidR="009C438E"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 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Dobbiamo evitare penalizzazion</w:t>
      </w:r>
      <w:r w:rsidR="009C438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i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ingiuste rispetto 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a</w:t>
      </w: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strumenti che non sono più rischiosi</w:t>
      </w:r>
      <w:r w:rsidR="009C438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</w:t>
      </w:r>
      <w:r w:rsidR="00D95A88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e p</w:t>
      </w:r>
      <w:r w:rsidR="00146D80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er questo ci</w:t>
      </w:r>
      <w:r w:rsidR="00CC5E1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siamo battuti affinché i requisiti di capitale inizialmente previsti</w:t>
      </w:r>
      <w:r w:rsidR="00146D80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per il leasing</w:t>
      </w:r>
      <w:r w:rsidR="00CC5E1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vengano rivisti dalla Agenzia Bancaria Europea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, </w:t>
      </w:r>
      <w:r w:rsidR="00CC5E1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rispecchia</w:t>
      </w:r>
      <w:r w:rsidR="00A46496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ndo al</w:t>
      </w:r>
      <w:r w:rsidR="00CC5E1E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 xml:space="preserve"> meglio il reale profilo di rischio</w:t>
      </w:r>
      <w:r w:rsidR="00146D80"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”.</w:t>
      </w:r>
    </w:p>
    <w:p w14:paraId="3F4B5016" w14:textId="77777777" w:rsidR="00CC5E1E" w:rsidRPr="00197C2A" w:rsidRDefault="00CC5E1E" w:rsidP="002652A8">
      <w:pPr>
        <w:jc w:val="both"/>
        <w:rPr>
          <w:rFonts w:asciiTheme="majorHAnsi" w:hAnsiTheme="majorHAnsi" w:cstheme="majorHAnsi"/>
          <w:color w:val="002060"/>
          <w:sz w:val="21"/>
          <w:szCs w:val="21"/>
        </w:rPr>
      </w:pPr>
    </w:p>
    <w:p w14:paraId="447A823F" w14:textId="54671814" w:rsidR="00CC5E1E" w:rsidRPr="00197C2A" w:rsidRDefault="00D95A88" w:rsidP="002652A8">
      <w:pPr>
        <w:jc w:val="both"/>
        <w:rPr>
          <w:rFonts w:asciiTheme="majorHAnsi" w:eastAsia="Times New Roman" w:hAnsiTheme="majorHAnsi" w:cstheme="majorHAnsi"/>
          <w:b/>
          <w:bCs/>
          <w:color w:val="002060"/>
          <w:sz w:val="21"/>
          <w:szCs w:val="21"/>
          <w:lang w:eastAsia="it-IT"/>
        </w:rPr>
      </w:pPr>
      <w:r w:rsidRPr="00197C2A">
        <w:rPr>
          <w:rFonts w:asciiTheme="majorHAnsi" w:eastAsia="Times New Roman" w:hAnsiTheme="majorHAnsi" w:cstheme="majorHAnsi"/>
          <w:b/>
          <w:bCs/>
          <w:color w:val="002060"/>
          <w:sz w:val="21"/>
          <w:szCs w:val="21"/>
          <w:lang w:eastAsia="it-IT"/>
        </w:rPr>
        <w:t>Marco Fortis</w:t>
      </w:r>
      <w:r w:rsidR="00C46324" w:rsidRPr="00197C2A">
        <w:rPr>
          <w:rFonts w:asciiTheme="majorHAnsi" w:eastAsia="Times New Roman" w:hAnsiTheme="majorHAnsi" w:cstheme="majorHAnsi"/>
          <w:color w:val="002060"/>
          <w:sz w:val="21"/>
          <w:szCs w:val="21"/>
          <w:lang w:eastAsia="it-IT"/>
        </w:rPr>
        <w:t xml:space="preserve">, Vice Presente e Direttore </w:t>
      </w:r>
      <w:r w:rsidR="007042CF" w:rsidRPr="00197C2A">
        <w:rPr>
          <w:rFonts w:asciiTheme="majorHAnsi" w:eastAsia="Times New Roman" w:hAnsiTheme="majorHAnsi" w:cstheme="majorHAnsi"/>
          <w:color w:val="002060"/>
          <w:sz w:val="21"/>
          <w:szCs w:val="21"/>
          <w:lang w:eastAsia="it-IT"/>
        </w:rPr>
        <w:t xml:space="preserve">della </w:t>
      </w:r>
      <w:r w:rsidR="00C46324" w:rsidRPr="00197C2A">
        <w:rPr>
          <w:rFonts w:asciiTheme="majorHAnsi" w:eastAsia="Times New Roman" w:hAnsiTheme="majorHAnsi" w:cstheme="majorHAnsi"/>
          <w:color w:val="002060"/>
          <w:sz w:val="21"/>
          <w:szCs w:val="21"/>
          <w:lang w:eastAsia="it-IT"/>
        </w:rPr>
        <w:t>Fondazione Edison</w:t>
      </w:r>
    </w:p>
    <w:p w14:paraId="412924F6" w14:textId="452B70B9" w:rsidR="00E61FF6" w:rsidRPr="00197C2A" w:rsidRDefault="00E61FF6" w:rsidP="00E61FF6">
      <w:pPr>
        <w:jc w:val="both"/>
        <w:rPr>
          <w:rFonts w:asciiTheme="majorHAnsi" w:hAnsiTheme="majorHAnsi" w:cstheme="majorHAnsi"/>
          <w:i/>
          <w:iCs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i/>
          <w:iCs/>
          <w:color w:val="002060"/>
          <w:sz w:val="21"/>
          <w:szCs w:val="21"/>
        </w:rPr>
        <w:t>“Italia e Spagna hanno sostanzialmente recuperato il livello del 2019 più una crescita del 3% mentre Germania, Francia e UK che sono indietro con la locomotiva di Europa che sta registrando una crisi strutturale, legata soprattutto all’andamento dell’auto”.</w:t>
      </w:r>
    </w:p>
    <w:p w14:paraId="627BC43C" w14:textId="77777777" w:rsidR="00E61FF6" w:rsidRPr="00197C2A" w:rsidRDefault="00E61FF6" w:rsidP="00E61FF6">
      <w:pPr>
        <w:jc w:val="both"/>
        <w:rPr>
          <w:rFonts w:asciiTheme="majorHAnsi" w:hAnsiTheme="majorHAnsi" w:cstheme="majorHAnsi"/>
          <w:i/>
          <w:iCs/>
          <w:color w:val="002060"/>
          <w:sz w:val="10"/>
          <w:szCs w:val="10"/>
        </w:rPr>
      </w:pPr>
    </w:p>
    <w:p w14:paraId="4C0854B9" w14:textId="7202648B" w:rsidR="003F3B38" w:rsidRPr="00FD68C5" w:rsidRDefault="00E61FF6" w:rsidP="00554687">
      <w:pPr>
        <w:jc w:val="both"/>
        <w:rPr>
          <w:rFonts w:asciiTheme="majorHAnsi" w:hAnsiTheme="majorHAnsi" w:cs="Calibri Light (Titoli)"/>
          <w:i/>
          <w:iCs/>
          <w:color w:val="002060"/>
          <w:spacing w:val="-4"/>
          <w:sz w:val="22"/>
          <w:szCs w:val="22"/>
        </w:rPr>
      </w:pPr>
      <w:r w:rsidRPr="00197C2A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“Mi aspetto che la crescita dello 0,7-</w:t>
      </w:r>
      <w:r w:rsidR="00DF5D66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0,</w:t>
      </w:r>
      <w:r w:rsidRPr="00197C2A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8% previsto per quest’anno rimanga simile nel 2024. L’Italia è uscita bene dal </w:t>
      </w:r>
      <w:r w:rsidR="00DF5D66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C</w:t>
      </w:r>
      <w:r w:rsidRPr="00197C2A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ovid e grazie al consolidamento delle misure adottate precedentemente, a cominciare dalla fortissima propensione agli investimenti stimolata dal Piano Industria 4.0 e sostenuta dal leasing. A livello di investimenti in macchinari, l’Italia è sopra al 7% sul PIL, con Germania e Stati uniti che sono almeno un punto indietro. Come competitività, l’Italia è terza al mondo per maggior numero di leadership nei diversi settori”. </w:t>
      </w:r>
      <w:r w:rsidR="00FD68C5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Certo, f</w:t>
      </w:r>
      <w:r w:rsidR="00197C2A" w:rsidRPr="00197C2A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acciamo tutto questo con delle Ferrari che corrono su uno “sterrato” digitale</w:t>
      </w:r>
      <w:r w:rsidR="00FD68C5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 e q</w:t>
      </w:r>
      <w:r w:rsidR="00197C2A" w:rsidRPr="00197C2A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uesta è la grande sfida, a cominciare dalla P.A</w:t>
      </w:r>
      <w:r w:rsidR="00FD68C5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, ma </w:t>
      </w:r>
      <w:r w:rsidR="00FD68C5" w:rsidRPr="00FD68C5">
        <w:rPr>
          <w:rFonts w:asciiTheme="majorHAnsi" w:eastAsia="Times New Roman" w:hAnsiTheme="majorHAnsi" w:cs="Calibri Light (Titoli)"/>
          <w:i/>
          <w:iCs/>
          <w:color w:val="002060"/>
          <w:spacing w:val="-4"/>
          <w:sz w:val="21"/>
          <w:szCs w:val="21"/>
          <w:lang w:eastAsia="it-IT"/>
        </w:rPr>
        <w:t>l’Italia è solidissima, se fate una domanda a un analista di Moody’s scoprirete che non sa nulla del Paese. Dobbiamo ribellarci e promuovere le storie di imprese di eccellenza come</w:t>
      </w:r>
      <w:r w:rsidR="00585F86">
        <w:rPr>
          <w:rFonts w:asciiTheme="majorHAnsi" w:eastAsia="Times New Roman" w:hAnsiTheme="majorHAnsi" w:cs="Calibri Light (Titoli)"/>
          <w:i/>
          <w:iCs/>
          <w:color w:val="002060"/>
          <w:spacing w:val="-4"/>
          <w:sz w:val="21"/>
          <w:szCs w:val="21"/>
          <w:lang w:eastAsia="it-IT"/>
        </w:rPr>
        <w:t xml:space="preserve"> quelle</w:t>
      </w:r>
      <w:r w:rsidR="00FD68C5" w:rsidRPr="00FD68C5">
        <w:rPr>
          <w:rFonts w:asciiTheme="majorHAnsi" w:eastAsia="Times New Roman" w:hAnsiTheme="majorHAnsi" w:cs="Calibri Light (Titoli)"/>
          <w:i/>
          <w:iCs/>
          <w:color w:val="002060"/>
          <w:spacing w:val="-4"/>
          <w:sz w:val="21"/>
          <w:szCs w:val="21"/>
          <w:lang w:eastAsia="it-IT"/>
        </w:rPr>
        <w:t xml:space="preserve"> che sono state portate sul palco del Salone del leasing</w:t>
      </w:r>
      <w:r w:rsidR="00197C2A" w:rsidRPr="00FD68C5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”.</w:t>
      </w:r>
    </w:p>
    <w:p w14:paraId="314B2CC7" w14:textId="77777777" w:rsidR="00837E7A" w:rsidRPr="00FD68C5" w:rsidRDefault="00837E7A" w:rsidP="00D13887">
      <w:pPr>
        <w:pStyle w:val="Default"/>
        <w:jc w:val="both"/>
        <w:rPr>
          <w:rFonts w:asciiTheme="majorHAnsi" w:hAnsiTheme="majorHAnsi" w:cstheme="majorHAnsi"/>
          <w:i/>
          <w:iCs/>
          <w:color w:val="002060"/>
          <w:sz w:val="21"/>
          <w:szCs w:val="21"/>
        </w:rPr>
      </w:pPr>
    </w:p>
    <w:p w14:paraId="25A47AA6" w14:textId="7264DF47" w:rsidR="00A10E33" w:rsidRPr="00197C2A" w:rsidRDefault="00AC1F6D" w:rsidP="00D13887">
      <w:pPr>
        <w:pStyle w:val="Default"/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Francesca Brunori</w:t>
      </w:r>
      <w:r w:rsidR="003F2250" w:rsidRPr="00197C2A">
        <w:rPr>
          <w:rFonts w:asciiTheme="majorHAnsi" w:hAnsiTheme="majorHAnsi" w:cstheme="majorHAnsi"/>
          <w:color w:val="002060"/>
          <w:sz w:val="21"/>
          <w:szCs w:val="21"/>
        </w:rPr>
        <w:t>, Direttore Area Credito e Finanza</w:t>
      </w:r>
      <w:r w:rsidR="00E61FF6"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 di</w:t>
      </w:r>
      <w:r w:rsidR="003F2250"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 Confindustria</w:t>
      </w:r>
    </w:p>
    <w:p w14:paraId="30FA253E" w14:textId="61E877C4" w:rsidR="003F3B38" w:rsidRPr="00224367" w:rsidRDefault="00E61FF6" w:rsidP="00D13887">
      <w:pPr>
        <w:jc w:val="both"/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</w:pPr>
      <w:r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“</w:t>
      </w:r>
      <w:r w:rsidR="00071E95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Circa la</w:t>
      </w:r>
      <w:r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 fase di rallentamento</w:t>
      </w:r>
      <w:r w:rsidR="00071E95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,</w:t>
      </w:r>
      <w:r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 devo segnalare la caduta degli investimenti a causa del rialzo dei tassi, in particolare nel settore delle costruzioni</w:t>
      </w:r>
      <w:r w:rsidR="00071E95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. Il fattore dei tassi di interesse pagate dalle imprese nuove operazioni che in media è salito ad agosto sopra il 5%.</w:t>
      </w:r>
      <w:r w:rsidR="005C5013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 Questo contra</w:t>
      </w:r>
      <w:r w:rsidR="00DF5D66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s</w:t>
      </w:r>
      <w:r w:rsidR="005C5013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ta con la spinta alla transizione green, che chiama le imprese a nuovi importanti investimenti</w:t>
      </w:r>
      <w:r w:rsidR="00554687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, anche considerando che si è esaurita la loro disponibilità di liquidità</w:t>
      </w:r>
      <w:r w:rsidR="00EE1BE4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. Nella manovra ci sono interventi positivi, come il rifinanziamento dei Contratti di sviluppo e della Legge Sabatini</w:t>
      </w:r>
      <w:r w:rsidR="00224367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 (i cui fondi andrebbero i</w:t>
      </w:r>
      <w:r w:rsidR="00DF5D66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ncre</w:t>
      </w:r>
      <w:r w:rsidR="00224367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mentati)</w:t>
      </w:r>
      <w:r w:rsid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>. Manca completamente un intervento volto a confermare l’attuale impianto per l’accesso al credito da parte delle PMI”</w:t>
      </w:r>
      <w:r w:rsidR="00224367" w:rsidRPr="00224367">
        <w:rPr>
          <w:rFonts w:asciiTheme="majorHAnsi" w:hAnsiTheme="majorHAnsi" w:cs="Calibri Light (Titoli)"/>
          <w:i/>
          <w:iCs/>
          <w:color w:val="002060"/>
          <w:spacing w:val="-2"/>
          <w:sz w:val="21"/>
          <w:szCs w:val="21"/>
        </w:rPr>
        <w:t xml:space="preserve">. </w:t>
      </w:r>
    </w:p>
    <w:p w14:paraId="4DD5FA24" w14:textId="24EA05C1" w:rsidR="00554687" w:rsidRPr="00197C2A" w:rsidRDefault="00554687" w:rsidP="00D13887">
      <w:pPr>
        <w:jc w:val="both"/>
        <w:rPr>
          <w:rFonts w:asciiTheme="majorHAnsi" w:hAnsiTheme="majorHAnsi" w:cstheme="majorHAnsi"/>
          <w:i/>
          <w:iCs/>
          <w:color w:val="002060"/>
          <w:sz w:val="21"/>
          <w:szCs w:val="21"/>
        </w:rPr>
      </w:pPr>
    </w:p>
    <w:p w14:paraId="07738901" w14:textId="29FB7DAC" w:rsidR="00D13887" w:rsidRPr="00197C2A" w:rsidRDefault="00554687" w:rsidP="00D13887">
      <w:pPr>
        <w:pStyle w:val="Default"/>
        <w:jc w:val="both"/>
        <w:rPr>
          <w:rFonts w:asciiTheme="majorHAnsi" w:hAnsiTheme="majorHAnsi" w:cstheme="majorHAnsi"/>
          <w:color w:val="002060"/>
          <w:sz w:val="21"/>
          <w:szCs w:val="21"/>
        </w:rPr>
      </w:pP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Andrea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 xml:space="preserve"> </w:t>
      </w:r>
      <w:r w:rsidR="00E61FF6"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>Bianchi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,</w:t>
      </w:r>
      <w:r w:rsidRPr="00197C2A">
        <w:rPr>
          <w:rFonts w:asciiTheme="majorHAnsi" w:hAnsiTheme="majorHAnsi" w:cstheme="majorHAnsi"/>
          <w:b/>
          <w:bCs/>
          <w:color w:val="002060"/>
          <w:sz w:val="21"/>
          <w:szCs w:val="21"/>
        </w:rPr>
        <w:t xml:space="preserve"> </w:t>
      </w:r>
      <w:r w:rsidRPr="00197C2A">
        <w:rPr>
          <w:rFonts w:asciiTheme="majorHAnsi" w:hAnsiTheme="majorHAnsi" w:cstheme="majorHAnsi"/>
          <w:color w:val="002060"/>
          <w:sz w:val="21"/>
          <w:szCs w:val="21"/>
        </w:rPr>
        <w:t>Direttore Generale Confidi Systema</w:t>
      </w:r>
      <w:r w:rsidR="00224367">
        <w:rPr>
          <w:rFonts w:asciiTheme="majorHAnsi" w:hAnsiTheme="majorHAnsi" w:cstheme="majorHAnsi"/>
          <w:color w:val="002060"/>
          <w:sz w:val="21"/>
          <w:szCs w:val="21"/>
        </w:rPr>
        <w:t xml:space="preserve"> </w:t>
      </w:r>
    </w:p>
    <w:p w14:paraId="025A2E08" w14:textId="2A6093A0" w:rsidR="00837E7A" w:rsidRPr="00DF5D66" w:rsidRDefault="00554687" w:rsidP="00AC1F6D">
      <w:pPr>
        <w:jc w:val="both"/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</w:pPr>
      <w:r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 xml:space="preserve">“I dieci rialzi consecutivi dei tassi di interesse su un arco temporale così breve ci da un vigoroso calo del credito, circa 50 miliardi in meno, segnalo </w:t>
      </w:r>
      <w:r w:rsidR="00DF5D66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 xml:space="preserve">che è </w:t>
      </w:r>
      <w:r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percentualmente significativo sulle aziende più piccole.</w:t>
      </w:r>
      <w:r w:rsidR="00E25E71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 xml:space="preserve"> Leggiamo un atteggiamento di prudenza e attesa delle PMI molto diffuso, che impatta sulla dinamica macro e la crescita del Paese.</w:t>
      </w:r>
      <w:r w:rsidR="004A5FA1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 xml:space="preserve"> Abbiamo poi delle apprensioni sulla bolletta energetica, che nell’ultimo mese ha visto crescere le quotazioni del gas, sia pure non a livello dei picchi del 2022</w:t>
      </w:r>
      <w:r w:rsidR="00197C2A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. Abbiamo, emerge anche qui al Salone del Leasing, un sistema di imprese con grandissime potenzialità</w:t>
      </w:r>
      <w:r w:rsidR="00FE703C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: facciamol</w:t>
      </w:r>
      <w:r w:rsidR="00DF5D66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e</w:t>
      </w:r>
      <w:r w:rsidR="00FE703C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 xml:space="preserve"> correre</w:t>
      </w:r>
      <w:r w:rsidR="00E25E71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”</w:t>
      </w:r>
      <w:r w:rsidR="001334EA" w:rsidRPr="00DF5D66">
        <w:rPr>
          <w:rFonts w:asciiTheme="majorHAnsi" w:hAnsiTheme="majorHAnsi" w:cs="Calibri Light (Titoli)"/>
          <w:i/>
          <w:iCs/>
          <w:color w:val="002060"/>
          <w:spacing w:val="-6"/>
          <w:sz w:val="21"/>
          <w:szCs w:val="21"/>
        </w:rPr>
        <w:t>.</w:t>
      </w:r>
    </w:p>
    <w:p w14:paraId="2DD1587C" w14:textId="1D8C6927" w:rsidR="00AC1F6D" w:rsidRPr="00197C2A" w:rsidRDefault="00AC1F6D" w:rsidP="00AC1F6D">
      <w:pPr>
        <w:jc w:val="both"/>
        <w:rPr>
          <w:rFonts w:asciiTheme="majorHAnsi" w:hAnsiTheme="majorHAnsi" w:cstheme="majorHAnsi"/>
          <w:color w:val="002060"/>
          <w:sz w:val="18"/>
          <w:szCs w:val="18"/>
        </w:rPr>
      </w:pPr>
    </w:p>
    <w:p w14:paraId="533C6025" w14:textId="560C2A54" w:rsidR="00AC1F6D" w:rsidRDefault="00AC1F6D" w:rsidP="00AC1F6D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5A3B59">
        <w:rPr>
          <w:rFonts w:asciiTheme="majorHAnsi" w:hAnsiTheme="majorHAnsi" w:cstheme="majorHAnsi"/>
          <w:color w:val="002060"/>
          <w:sz w:val="22"/>
          <w:szCs w:val="22"/>
        </w:rPr>
        <w:t xml:space="preserve">Domani </w:t>
      </w:r>
      <w:r>
        <w:rPr>
          <w:rFonts w:asciiTheme="majorHAnsi" w:hAnsiTheme="majorHAnsi" w:cstheme="majorHAnsi"/>
          <w:color w:val="002060"/>
          <w:sz w:val="22"/>
          <w:szCs w:val="22"/>
        </w:rPr>
        <w:t>26 ottobre i</w:t>
      </w:r>
      <w:r w:rsidRPr="005A3B59">
        <w:rPr>
          <w:rFonts w:asciiTheme="majorHAnsi" w:hAnsiTheme="majorHAnsi" w:cstheme="majorHAnsi"/>
          <w:color w:val="002060"/>
          <w:sz w:val="22"/>
          <w:szCs w:val="22"/>
        </w:rPr>
        <w:t xml:space="preserve"> lavori proseguono con </w:t>
      </w:r>
      <w:r>
        <w:rPr>
          <w:rFonts w:asciiTheme="majorHAnsi" w:hAnsiTheme="majorHAnsi" w:cstheme="majorHAnsi"/>
          <w:color w:val="002060"/>
          <w:sz w:val="22"/>
          <w:szCs w:val="22"/>
        </w:rPr>
        <w:t>le tavole rotonde: “</w:t>
      </w:r>
      <w:r w:rsidRPr="00AC1F6D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>La</w:t>
      </w:r>
      <w:r w:rsidRPr="001A67A3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 xml:space="preserve"> contribuzione del PNRR alla crescita del </w:t>
      </w:r>
      <w:r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>P</w:t>
      </w:r>
      <w:r w:rsidRPr="001A67A3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>aese</w:t>
      </w:r>
      <w:r>
        <w:rPr>
          <w:rFonts w:asciiTheme="majorHAnsi" w:hAnsiTheme="majorHAnsi" w:cstheme="majorHAnsi"/>
          <w:color w:val="002060"/>
          <w:sz w:val="22"/>
          <w:szCs w:val="22"/>
        </w:rPr>
        <w:t>” e “</w:t>
      </w:r>
      <w:r w:rsidRPr="001A67A3">
        <w:rPr>
          <w:rFonts w:asciiTheme="majorHAnsi" w:hAnsiTheme="majorHAnsi" w:cstheme="majorHAnsi"/>
          <w:b/>
          <w:bCs/>
          <w:i/>
          <w:iCs/>
          <w:color w:val="002060"/>
          <w:sz w:val="22"/>
          <w:szCs w:val="22"/>
        </w:rPr>
        <w:t>Crescita sostenibile: opportunità e minacce</w:t>
      </w:r>
      <w:r w:rsidRPr="00AC1F6D">
        <w:rPr>
          <w:rFonts w:asciiTheme="majorHAnsi" w:hAnsiTheme="majorHAnsi" w:cstheme="majorHAnsi"/>
          <w:i/>
          <w:iCs/>
          <w:color w:val="002060"/>
          <w:sz w:val="22"/>
          <w:szCs w:val="22"/>
        </w:rPr>
        <w:t>”</w:t>
      </w:r>
      <w:r>
        <w:rPr>
          <w:rFonts w:asciiTheme="majorHAnsi" w:hAnsiTheme="majorHAnsi" w:cstheme="majorHAnsi"/>
          <w:color w:val="002060"/>
          <w:sz w:val="22"/>
          <w:szCs w:val="22"/>
        </w:rPr>
        <w:t xml:space="preserve">. </w:t>
      </w:r>
    </w:p>
    <w:p w14:paraId="4E413B47" w14:textId="108187BA" w:rsidR="00AC1F6D" w:rsidRPr="00197C2A" w:rsidRDefault="00AC1F6D" w:rsidP="00AC1F6D">
      <w:pPr>
        <w:jc w:val="both"/>
        <w:rPr>
          <w:rFonts w:asciiTheme="majorHAnsi" w:hAnsiTheme="majorHAnsi" w:cstheme="majorHAnsi"/>
          <w:color w:val="002060"/>
          <w:sz w:val="30"/>
          <w:szCs w:val="30"/>
        </w:rPr>
      </w:pPr>
    </w:p>
    <w:p w14:paraId="5EA3BB9F" w14:textId="77777777" w:rsidR="00582CA1" w:rsidRDefault="00582CA1" w:rsidP="00AC1F6D">
      <w:pPr>
        <w:jc w:val="both"/>
        <w:rPr>
          <w:rFonts w:asciiTheme="majorHAnsi" w:hAnsiTheme="majorHAnsi" w:cstheme="majorHAnsi"/>
          <w:color w:val="002060"/>
          <w:sz w:val="20"/>
          <w:szCs w:val="20"/>
          <w:u w:val="single"/>
        </w:rPr>
      </w:pPr>
    </w:p>
    <w:p w14:paraId="1FC9DA36" w14:textId="77777777" w:rsidR="00582CA1" w:rsidRDefault="00582CA1" w:rsidP="00AC1F6D">
      <w:pPr>
        <w:jc w:val="both"/>
        <w:rPr>
          <w:rFonts w:asciiTheme="majorHAnsi" w:hAnsiTheme="majorHAnsi" w:cstheme="majorHAnsi"/>
          <w:color w:val="002060"/>
          <w:sz w:val="20"/>
          <w:szCs w:val="20"/>
          <w:u w:val="single"/>
        </w:rPr>
      </w:pPr>
    </w:p>
    <w:p w14:paraId="2C504F4F" w14:textId="77777777" w:rsidR="00582CA1" w:rsidRDefault="00582CA1" w:rsidP="00AC1F6D">
      <w:pPr>
        <w:jc w:val="both"/>
        <w:rPr>
          <w:rFonts w:asciiTheme="majorHAnsi" w:hAnsiTheme="majorHAnsi" w:cstheme="majorHAnsi"/>
          <w:color w:val="002060"/>
          <w:sz w:val="20"/>
          <w:szCs w:val="20"/>
          <w:u w:val="single"/>
        </w:rPr>
      </w:pPr>
    </w:p>
    <w:p w14:paraId="3A7AA84E" w14:textId="77777777" w:rsidR="00582CA1" w:rsidRPr="00582CA1" w:rsidRDefault="00582CA1" w:rsidP="00582CA1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582CA1">
        <w:rPr>
          <w:rFonts w:ascii="Calibri" w:hAnsi="Calibri" w:cs="Calibri"/>
          <w:color w:val="001E5E"/>
          <w:sz w:val="22"/>
          <w:szCs w:val="22"/>
          <w:lang w:val="en-US"/>
        </w:rPr>
        <w:t>Ufficio</w:t>
      </w:r>
      <w:proofErr w:type="spellEnd"/>
      <w:r w:rsidRPr="00582CA1">
        <w:rPr>
          <w:rFonts w:ascii="Calibri" w:hAnsi="Calibri" w:cs="Calibri"/>
          <w:color w:val="001E5E"/>
          <w:sz w:val="22"/>
          <w:szCs w:val="22"/>
          <w:lang w:val="en-US"/>
        </w:rPr>
        <w:t xml:space="preserve"> </w:t>
      </w:r>
      <w:proofErr w:type="spellStart"/>
      <w:r w:rsidRPr="00582CA1">
        <w:rPr>
          <w:rFonts w:ascii="Calibri" w:hAnsi="Calibri" w:cs="Calibri"/>
          <w:color w:val="001E5E"/>
          <w:sz w:val="22"/>
          <w:szCs w:val="22"/>
          <w:lang w:val="en-US"/>
        </w:rPr>
        <w:t>stampa</w:t>
      </w:r>
      <w:proofErr w:type="spellEnd"/>
      <w:r w:rsidRPr="00582CA1">
        <w:rPr>
          <w:rFonts w:ascii="Calibri" w:hAnsi="Calibri" w:cs="Calibri"/>
          <w:color w:val="001E5E"/>
          <w:sz w:val="22"/>
          <w:szCs w:val="22"/>
          <w:lang w:val="en-US"/>
        </w:rPr>
        <w:t xml:space="preserve"> LEASE 2023 – THE ROUND TABLE </w:t>
      </w:r>
    </w:p>
    <w:p w14:paraId="185D74D7" w14:textId="77777777" w:rsidR="00582CA1" w:rsidRDefault="00582CA1" w:rsidP="00582CA1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582CA1">
        <w:rPr>
          <w:rFonts w:ascii="Calibri" w:hAnsi="Calibri" w:cs="Calibri"/>
          <w:color w:val="0077D6"/>
          <w:sz w:val="22"/>
          <w:szCs w:val="22"/>
          <w:lang w:val="en-US"/>
        </w:rPr>
        <w:t xml:space="preserve">emanuela.capitanio@theroundtable.it </w:t>
      </w:r>
      <w:r w:rsidRPr="00582CA1">
        <w:rPr>
          <w:rFonts w:ascii="Calibri" w:hAnsi="Calibri" w:cs="Calibri"/>
          <w:color w:val="1E1E1E"/>
          <w:sz w:val="22"/>
          <w:szCs w:val="22"/>
          <w:lang w:val="en-US"/>
        </w:rPr>
        <w:t xml:space="preserve">| </w:t>
      </w:r>
      <w:r w:rsidRPr="00582CA1">
        <w:rPr>
          <w:rFonts w:ascii="Calibri" w:hAnsi="Calibri" w:cs="Calibri"/>
          <w:sz w:val="22"/>
          <w:szCs w:val="22"/>
          <w:lang w:val="en-US"/>
        </w:rPr>
        <w:t xml:space="preserve">+39 347 4319334 </w:t>
      </w:r>
    </w:p>
    <w:p w14:paraId="0E9799E5" w14:textId="1AE32DB7" w:rsidR="00582CA1" w:rsidRPr="00585F86" w:rsidRDefault="00582CA1" w:rsidP="00582CA1">
      <w:pPr>
        <w:pStyle w:val="NormaleWeb"/>
        <w:spacing w:before="0" w:beforeAutospacing="0" w:after="0" w:afterAutospacing="0"/>
        <w:rPr>
          <w:lang w:val="en-US"/>
        </w:rPr>
      </w:pPr>
      <w:r w:rsidRPr="00585F86">
        <w:rPr>
          <w:rFonts w:ascii="Calibri" w:hAnsi="Calibri" w:cs="Calibri"/>
          <w:color w:val="0077D6"/>
          <w:sz w:val="22"/>
          <w:szCs w:val="22"/>
          <w:lang w:val="en-US"/>
        </w:rPr>
        <w:t xml:space="preserve">debora.albertario@theroundtable.it </w:t>
      </w:r>
      <w:r w:rsidRPr="00585F86">
        <w:rPr>
          <w:rFonts w:ascii="Calibri" w:hAnsi="Calibri" w:cs="Calibri"/>
          <w:color w:val="1E1E1E"/>
          <w:sz w:val="22"/>
          <w:szCs w:val="22"/>
          <w:lang w:val="en-US"/>
        </w:rPr>
        <w:t xml:space="preserve">| </w:t>
      </w:r>
      <w:r w:rsidRPr="00585F86">
        <w:rPr>
          <w:rFonts w:ascii="Calibri" w:hAnsi="Calibri" w:cs="Calibri"/>
          <w:sz w:val="22"/>
          <w:szCs w:val="22"/>
          <w:lang w:val="en-US"/>
        </w:rPr>
        <w:t xml:space="preserve">+39 333 8184210 </w:t>
      </w:r>
    </w:p>
    <w:p w14:paraId="4BC00A82" w14:textId="77777777" w:rsidR="00582CA1" w:rsidRPr="00585F86" w:rsidRDefault="00582CA1" w:rsidP="00582CA1">
      <w:pPr>
        <w:pStyle w:val="NormaleWeb"/>
        <w:spacing w:before="0" w:beforeAutospacing="0" w:after="0" w:afterAutospacing="0"/>
        <w:rPr>
          <w:rFonts w:ascii="Calibri" w:hAnsi="Calibri" w:cs="Calibri"/>
          <w:color w:val="001E5E"/>
          <w:sz w:val="22"/>
          <w:szCs w:val="22"/>
          <w:lang w:val="en-US"/>
        </w:rPr>
      </w:pPr>
    </w:p>
    <w:p w14:paraId="4EC52CDF" w14:textId="22CDC9B6" w:rsidR="00582CA1" w:rsidRDefault="00582CA1" w:rsidP="00582CA1">
      <w:pPr>
        <w:pStyle w:val="NormaleWeb"/>
        <w:spacing w:before="0" w:beforeAutospacing="0" w:after="0" w:afterAutospacing="0"/>
        <w:rPr>
          <w:rFonts w:ascii="Calibri" w:hAnsi="Calibri" w:cs="Calibri"/>
          <w:color w:val="001E5E"/>
          <w:sz w:val="22"/>
          <w:szCs w:val="22"/>
        </w:rPr>
      </w:pPr>
      <w:r>
        <w:rPr>
          <w:rFonts w:ascii="Calibri" w:hAnsi="Calibri" w:cs="Calibri"/>
          <w:color w:val="001E5E"/>
          <w:sz w:val="22"/>
          <w:szCs w:val="22"/>
        </w:rPr>
        <w:t>25-26 OTTOBRE 2023</w:t>
      </w:r>
      <w:r>
        <w:rPr>
          <w:rFonts w:ascii="Calibri" w:hAnsi="Calibri" w:cs="Calibri"/>
          <w:color w:val="001E5E"/>
          <w:sz w:val="22"/>
          <w:szCs w:val="22"/>
        </w:rPr>
        <w:br/>
        <w:t xml:space="preserve">MILANO - Palazzo Emilio Turati, via dei Meravigli 9 </w:t>
      </w:r>
    </w:p>
    <w:p w14:paraId="395DB0E4" w14:textId="0277F380" w:rsidR="00582CA1" w:rsidRDefault="00582CA1" w:rsidP="00582CA1">
      <w:pPr>
        <w:pStyle w:val="NormaleWeb"/>
        <w:spacing w:before="0" w:beforeAutospacing="0" w:after="0" w:afterAutospacing="0"/>
        <w:rPr>
          <w:rFonts w:ascii="Calibri" w:hAnsi="Calibri" w:cs="Calibri"/>
          <w:color w:val="001E5E"/>
          <w:sz w:val="22"/>
          <w:szCs w:val="22"/>
        </w:rPr>
      </w:pPr>
      <w:r>
        <w:rPr>
          <w:rFonts w:ascii="Calibri" w:hAnsi="Calibri" w:cs="Calibri"/>
          <w:color w:val="001E5E"/>
          <w:sz w:val="22"/>
          <w:szCs w:val="22"/>
        </w:rPr>
        <w:t xml:space="preserve">lease2023.it – </w:t>
      </w:r>
      <w:hyperlink r:id="rId6" w:history="1">
        <w:r w:rsidRPr="004E321E">
          <w:rPr>
            <w:rStyle w:val="Collegamentoipertestuale"/>
            <w:rFonts w:ascii="Calibri" w:hAnsi="Calibri" w:cs="Calibri"/>
            <w:sz w:val="22"/>
            <w:szCs w:val="22"/>
          </w:rPr>
          <w:t>lease2023@assilea.it</w:t>
        </w:r>
      </w:hyperlink>
    </w:p>
    <w:p w14:paraId="68F7ACB2" w14:textId="77D82057" w:rsidR="00582CA1" w:rsidRDefault="00582CA1" w:rsidP="00582CA1">
      <w:pPr>
        <w:pStyle w:val="NormaleWeb"/>
        <w:rPr>
          <w:rFonts w:ascii="Calibri" w:hAnsi="Calibri" w:cs="Calibri"/>
          <w:color w:val="001E5E"/>
          <w:sz w:val="22"/>
          <w:szCs w:val="22"/>
        </w:rPr>
      </w:pP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089FDC6E" w14:textId="77777777" w:rsidR="00582CA1" w:rsidRDefault="00582CA1" w:rsidP="00582CA1">
      <w:pPr>
        <w:pStyle w:val="NormaleWeb"/>
      </w:pPr>
    </w:p>
    <w:p w14:paraId="7B8ED964" w14:textId="271C1970" w:rsidR="00837E7A" w:rsidRPr="004A5FA1" w:rsidRDefault="00837E7A" w:rsidP="004A5FA1">
      <w:pPr>
        <w:pStyle w:val="Default"/>
        <w:jc w:val="both"/>
        <w:rPr>
          <w:rFonts w:asciiTheme="majorHAnsi" w:hAnsiTheme="majorHAnsi" w:cstheme="majorHAnsi"/>
          <w:color w:val="002060"/>
          <w:sz w:val="20"/>
          <w:szCs w:val="20"/>
        </w:rPr>
      </w:pPr>
    </w:p>
    <w:sectPr w:rsidR="00837E7A" w:rsidRPr="004A5FA1" w:rsidSect="00FD68C5">
      <w:pgSz w:w="11900" w:h="16840"/>
      <w:pgMar w:top="717" w:right="1134" w:bottom="3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Titoli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B85"/>
    <w:multiLevelType w:val="hybridMultilevel"/>
    <w:tmpl w:val="16AE4F12"/>
    <w:lvl w:ilvl="0" w:tplc="DD0A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A5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A5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CF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2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86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0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66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89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7587B"/>
    <w:multiLevelType w:val="hybridMultilevel"/>
    <w:tmpl w:val="5A560824"/>
    <w:lvl w:ilvl="0" w:tplc="A21C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86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E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E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2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4B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2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6E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9667622">
    <w:abstractNumId w:val="0"/>
  </w:num>
  <w:num w:numId="2" w16cid:durableId="129945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5"/>
    <w:rsid w:val="00006EC9"/>
    <w:rsid w:val="00066EFF"/>
    <w:rsid w:val="00071E95"/>
    <w:rsid w:val="0007420B"/>
    <w:rsid w:val="000B25CB"/>
    <w:rsid w:val="000C140A"/>
    <w:rsid w:val="001070F5"/>
    <w:rsid w:val="001334EA"/>
    <w:rsid w:val="00146D80"/>
    <w:rsid w:val="00152956"/>
    <w:rsid w:val="00183A2F"/>
    <w:rsid w:val="00197C2A"/>
    <w:rsid w:val="001A67A3"/>
    <w:rsid w:val="00224367"/>
    <w:rsid w:val="002652A8"/>
    <w:rsid w:val="00270AE6"/>
    <w:rsid w:val="00282004"/>
    <w:rsid w:val="002D552D"/>
    <w:rsid w:val="0031411F"/>
    <w:rsid w:val="00371621"/>
    <w:rsid w:val="00376369"/>
    <w:rsid w:val="003F2250"/>
    <w:rsid w:val="003F3B38"/>
    <w:rsid w:val="0043064F"/>
    <w:rsid w:val="004A5FA1"/>
    <w:rsid w:val="004F0B5B"/>
    <w:rsid w:val="00512F77"/>
    <w:rsid w:val="00554687"/>
    <w:rsid w:val="00557C2F"/>
    <w:rsid w:val="00561747"/>
    <w:rsid w:val="005640B0"/>
    <w:rsid w:val="00582CA1"/>
    <w:rsid w:val="00585F86"/>
    <w:rsid w:val="005A3B59"/>
    <w:rsid w:val="005B32A5"/>
    <w:rsid w:val="005C5013"/>
    <w:rsid w:val="00607334"/>
    <w:rsid w:val="006E12BF"/>
    <w:rsid w:val="006F6E1E"/>
    <w:rsid w:val="007042CF"/>
    <w:rsid w:val="00705A0A"/>
    <w:rsid w:val="007476C6"/>
    <w:rsid w:val="00765644"/>
    <w:rsid w:val="00780BFE"/>
    <w:rsid w:val="00837E7A"/>
    <w:rsid w:val="00842E34"/>
    <w:rsid w:val="00853D2A"/>
    <w:rsid w:val="00862A79"/>
    <w:rsid w:val="008A16F4"/>
    <w:rsid w:val="009275C8"/>
    <w:rsid w:val="009C438E"/>
    <w:rsid w:val="00A10E33"/>
    <w:rsid w:val="00A22FE3"/>
    <w:rsid w:val="00A252AE"/>
    <w:rsid w:val="00A46496"/>
    <w:rsid w:val="00A5448F"/>
    <w:rsid w:val="00A92E61"/>
    <w:rsid w:val="00AC1F6D"/>
    <w:rsid w:val="00AE6EEA"/>
    <w:rsid w:val="00BF425A"/>
    <w:rsid w:val="00C0720F"/>
    <w:rsid w:val="00C22B0C"/>
    <w:rsid w:val="00C46324"/>
    <w:rsid w:val="00C80768"/>
    <w:rsid w:val="00CC5E1E"/>
    <w:rsid w:val="00CD7205"/>
    <w:rsid w:val="00CF01D6"/>
    <w:rsid w:val="00CF7365"/>
    <w:rsid w:val="00D13887"/>
    <w:rsid w:val="00D23413"/>
    <w:rsid w:val="00D856CE"/>
    <w:rsid w:val="00D85865"/>
    <w:rsid w:val="00D862DF"/>
    <w:rsid w:val="00D95A88"/>
    <w:rsid w:val="00DB6780"/>
    <w:rsid w:val="00DE5FF4"/>
    <w:rsid w:val="00DF5D66"/>
    <w:rsid w:val="00E25E71"/>
    <w:rsid w:val="00E61FF6"/>
    <w:rsid w:val="00E71FA3"/>
    <w:rsid w:val="00EA0565"/>
    <w:rsid w:val="00EE1BE4"/>
    <w:rsid w:val="00EF5339"/>
    <w:rsid w:val="00F22C27"/>
    <w:rsid w:val="00F31E6B"/>
    <w:rsid w:val="00F8491D"/>
    <w:rsid w:val="00F87AAD"/>
    <w:rsid w:val="00FB26C0"/>
    <w:rsid w:val="00FD68C5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FB83"/>
  <w14:defaultImageDpi w14:val="32767"/>
  <w15:chartTrackingRefBased/>
  <w15:docId w15:val="{96CEAB46-412C-D046-8D98-6DC5D34A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86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0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20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8491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1070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1621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2C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8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se2023@assilea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Emanuela Capitanio</cp:lastModifiedBy>
  <cp:revision>18</cp:revision>
  <dcterms:created xsi:type="dcterms:W3CDTF">2023-10-24T17:15:00Z</dcterms:created>
  <dcterms:modified xsi:type="dcterms:W3CDTF">2023-10-25T14:46:00Z</dcterms:modified>
</cp:coreProperties>
</file>